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JL19.032366 vom 19. November 2019</w:t>
      </w:r>
    </w:p>
    <w:p>
      <w:r>
        <w:t>VD Tribunal cantonal, 2019-11-19, FR</w:t>
      </w:r>
    </w:p>
    <w:p>
      <w:r>
        <w:rPr>
          <w:b/>
        </w:rPr>
        <w:t xml:space="preserve">Quelle: </w:t>
      </w:r>
      <w:r>
        <w:t>https://mcp.opencaselaw.ch/entscheid/vd_gerichte_JL19.032366</w:t>
      </w:r>
    </w:p>
    <w:p>
      <w:r>
        <w:t>FR: VD_GERICHTE JL19.032366 du 19 novembre 2019</w:t>
      </w:r>
    </w:p>
    <w:p>
      <w:r>
        <w:t>IT: VD_GERICHTE JL19.032366 del 19 novembre 2019</w:t>
      </w:r>
    </w:p>
    <w:p>
      <w:pPr>
        <w:pStyle w:val="Heading2"/>
      </w:pPr>
      <w:r>
        <w:t>Erwägungen</w:t>
      </w:r>
    </w:p>
    <w:p>
      <w:r>
        <w:rPr>
          <w:b/>
        </w:rPr>
        <w:t>E. 1</w:t>
      </w:r>
    </w:p>
    <w:p>
      <w:r>
        <w:t>Le 23 juin 2015, les parties ont conclu deux contrats portant sur la location, dès le 1er août 2015, d’un appartement de 4,5 pièces sis [...], comprenant une cave, pour un loyer mensuel de 1'870 fr., acompte de frais de chauffage, eau chaude et frais accessoires par 120 fr. inclus, et sur la location d’un garage-box, pour 150 fr. par mois.</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suisse du 19 décembre 2008 ; RS 272]).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Lorsque la décision attaquée a été rendue en procédure sommaire, comme c’est le cas dans la procédure en cas clair (art. 248 let.</w:t>
      </w:r>
    </w:p>
    <w:p>
      <w:r>
        <w:t>- 6 - b CPC), le délai d’appel est de dix jours à compter de la notification de la décision motivée (art. 314 al. 1 CPC).</w:t>
      </w:r>
    </w:p>
    <w:p>
      <w:r>
        <w:rPr>
          <w:b/>
        </w:rPr>
        <w:t>E. 1.2</w:t>
      </w:r>
    </w:p>
    <w:p>
      <w:r>
        <w:t>En l’espèce, compte tenu du loyer mensuel de l'appartement et du garage-box par 2'020 fr. au total, acompte de chauffage, eau chaude et frais accessoires par 120 fr. inclus, la valeur litigieuse, calculée selon les principes énoncés ci-dessus, est supérieure à 10'000 fr., si bien que c’est la voie de l’appel qui est ouverte (art. 308 al. 2 CPC). Pour le surplus, formé en temps utile par le locataire qui a succombé en première instance et qui a un intérêt digne de protection (art. 59 al. 2 let. a CPC), l’appel est recevable. 2. 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 312/2013 du 17 octobre 2013 consid.</w:t>
      </w:r>
    </w:p>
    <w:p>
      <w:r>
        <w:rPr>
          <w:b/>
        </w:rPr>
        <w:t>E. 2</w:t>
      </w:r>
    </w:p>
    <w:p>
      <w:r>
        <w:t>Par courrier recommandé du 12 mars 2019, la bailleresse a, par la [...], mis en demeure le locataire de verser dans un délai de trente jours un montant de 7'080 fr. – représentant le loyer dû pour les mois de « mars 2018, janvier, février et mars 2019 » –, lui indiquant qu'à défaut de paiement dans ce délai elle résilierait le bail, conformément à l'art. 257d CO. Le locataire n'a pas retiré le pli contenant la sommation dans le délai de garde postale qui arrivait à échéance le 21 mars 2019. Ce courrier a fait l’objet d’un second avis pour retrait adressé le 30 mars 2019 au locataire, lequel a retiré le pli le 2 avril 2019.</w:t>
      </w:r>
    </w:p>
    <w:p>
      <w:r>
        <w:rPr>
          <w:b/>
        </w:rPr>
        <w:t>E. 3</w:t>
      </w:r>
    </w:p>
    <w:p>
      <w:r>
        <w:t>Par formules officielles datées du 2 mai 2019, la bailleresse a résilié le bail de l'appartement et du garage-box, pour le 30 juin 2019. Ces résiliations ne mentionnent pas le montant de l'arriéré, mais constatent que celui-ci est « toujours impayé malgré la mise en demeure du 12 mars 2019 ».</w:t>
      </w:r>
    </w:p>
    <w:p>
      <w:r>
        <w:t>- 4 - Par lettre du 16 mai 2019 adressée au mandataire de la bailleresse, le locataire a expliqué qu’il ne lui était « pas possible pour le moment d’effectuer le paiement (ndr : des loyers dus) dans sa totalité, car l’année 2018 et le début de 2019 ont été très compliqués pour [lui] et [s]a famille », étant resté quelques mois sans salaire, qu’il avait « effectué les paiements comme [il] pouvai[t] », qu’il était « disponible à trouver un accord et à verser des paiements conditionnels pour régler la dette des mois en retard » et qu’« à partir du mois de juin, [il] commencerai[t] à effectuer les paiements réguliers ». Par courrier du 5 juin 2019, le locataire a demandé à la bailleresse « un peu de clémence et de compréhension », compte tenu des circonstances évoquées dans son précédent courrier, et « s’il [était] possible de rectifier le problème de l’état des lieux car, du fait de [s]a situation, [il avait] des poursuites et [il] ne [pouvait] pas faire une nouvelle caution pour un autre appartement ». Par correspondance du 5 juillet 2019, le mandataire de la bailleresse a accepté de fixer un nouvel état des lieux de sortie avant le 20 juillet 2019, celui du 1er juillet 2019 ayant été semble-t-il « annulé » par le locataire malgré l’absence d’informations dans ce sens de la part de la bailleresse. Par lettre du 9 juillet 2019, le locataire a proposé à la bailleresse de « réaliser le nouvel état des lieux à la fin du mois de juillet [2019] ».</w:t>
      </w:r>
    </w:p>
    <w:p>
      <w:r>
        <w:rPr>
          <w:b/>
        </w:rPr>
        <w:t>E. 3.1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w:t>
      </w:r>
    </w:p>
    <w:p>
      <w:r>
        <w:t>- 7 -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 TF 4A 343/2004 du 17 décembre 2014 consid. 3.2 et les réf.).</w:t>
      </w:r>
    </w:p>
    <w:p>
      <w:r>
        <w:rPr>
          <w:b/>
        </w:rPr>
        <w:t>E. 3.2</w:t>
      </w:r>
    </w:p>
    <w:p>
      <w:r>
        <w:t>Aux termes de l'art. 257d CO, lorsque, après la réception de la chose, le locataire a du retard pour s'acquitter d'un terme ou de frais accessoires échus, le bailleur peut lui fixer par écrit un délai de paiement</w:t>
      </w:r>
    </w:p>
    <w:p>
      <w:r>
        <w:t>- 8 -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w:t>
      </w:r>
    </w:p>
    <w:p>
      <w:r>
        <w:rPr>
          <w:b/>
        </w:rPr>
        <w:t>E. 3.3.1</w:t>
      </w:r>
    </w:p>
    <w:p>
      <w:r>
        <w:t>En l'espèce, l'appelant invoque en premier lieu qu'il ne vit pas seul dans l'appartement en question, mais qu'il y habite avec sa compagne et leur enfant de 13 ans. Il ne soutient cependant pas être marié, de sorte que la question de savoir si la résiliation aurait dû être notifiée également au conjoint ne se pose pas.</w:t>
      </w:r>
    </w:p>
    <w:p>
      <w:r>
        <w:rPr>
          <w:b/>
        </w:rPr>
        <w:t>E. 3.3.2</w:t>
      </w:r>
    </w:p>
    <w:p>
      <w:r>
        <w:t>L'appelant fait ensuite valoir que la situation ne serait pas claire parce qu'on ne saurait pas précisément quel est le montant qui lui est réclamé. Selon lui, cette question aurait mérité une instruction pour « assurer un parallélisme parfait entre la mise en demeure et la requête ». Si l'on s'en tient aux pièces du dossier (les pièces nouvelles étant irrecevables [cf. consid. 2 supra]), l'argument est cependant vain. La mise en demeure du 12 mars 2019 porte sur un montant de 7'080 fr., représentant le loyer dû pour les mois de « mars 2018, janvier, février et mars 2019 ». La requête du 10 juillet 2019 ne mentionne pas le montant en souffrance, mais estime la valeur litigieuse selon la valeur que représente l'usage des locaux pour la durée prévisible de la procédure, soit six mois, donc 12'120 fr. (ndr : 2'020 fr. x 6) ; on voit bien qu'il ne s'agit pas là du montant de l'arriéré, et aucune confusion n'est possible. Quant aux résiliations, elles ne mentionnent pas non plus le montant de l'arriéré, mais se limitent à constater que celui-ci n'a pas été payé dans le délai comminatoire. Il n'est du reste pas contesté qu'au moment de la mise en demeure, le montant impayé était de 7'080 fr., ni que ce montant n'a pas été intégralement payé durant ce délai. C'est également ce que retient l'ordonnance, qui fait état d'un paiement de 2'020 fr. uniquement, ce qui n'est pas davantage remis en cause. On voit donc mal en quoi la question du montant dû ne serait pas claire.</w:t>
      </w:r>
    </w:p>
    <w:p>
      <w:r>
        <w:t>- 9 -</w:t>
      </w:r>
    </w:p>
    <w:p>
      <w:r>
        <w:rPr>
          <w:b/>
        </w:rPr>
        <w:t>E. 3.3.3</w:t>
      </w:r>
    </w:p>
    <w:p>
      <w:r>
        <w:t>Dans un dernier argument, l'appelant conteste la validité de la résiliation intervenue. D'abord, il invoque que la notification des formulaires officiels de résiliation n'a pas été prouvée. Ensuite, il relève que les exemplaires produits au dossier ne sont pas signés. Il est exact que si la réception de l'avis comminatoire est prouvée par la production du « track &amp; trace » de cette communication, l'intimée a produit uniquement les justificatifs d'envoi des résiliations de bail (pièces 7 et 8). Or, la question de savoir si l’intimée aurait dû prouver aussi la réception ou, à tout le moins, la dépose de l'invitation à aller retirer un envoi dans la boîte aux lettres de l'appelant doit être résolue négativement. Si la preuve de la réception de l'avis comminatoire est utile, c'est pour établir la preuve de l'échéance du délai de 30 jours au terme duquel la résiliation peut valablement intervenir. En revanche, une fois admis que la résiliation a été adressée après l'échéance de ce délai, la date de la notification de la résiliation n'a en principe pas d'incidence. En outre, si le destinataire ne va pas chercher son pli, il est tout de même présumé l'avoir reçu à l'issue du délai de garde. De plus, on peut présumer que La Poste ne perd pas les courriers recommandés et que ceux-ci sont acheminés à leur destinataire. Partant, la preuve de l'envoi en recommandé des résiliations est suffisante, d'autant plus que l'appelant n'a jamais soutenu, devant le juge de première instance (ni même en appel d'ailleurs), qu'il n'aurait pas reçu ces résiliations. Finalement, l'argument tiré de l'absence de signature sur les exemplaires des résiliations versées au dossier ne convainc pas, puisqu'il ne peut s'agir que des copies, demeurées en possession de l'intimée, des courriers adressés à l'appelant. Or, une copie n'a pas à être signée. Au demeurant, l'appelant ne prétend pas que les originaux qui lui étaient destinés n'auraient pas été signés.</w:t>
      </w:r>
    </w:p>
    <w:p>
      <w:r>
        <w:rPr>
          <w:b/>
        </w:rPr>
        <w:t>E. 3.4</w:t>
      </w:r>
    </w:p>
    <w:p>
      <w:r>
        <w:t>En définitive, c'est donc à juste titre que le premier juge a estimé que l'état de fait n'était pas litigieux et que la situation juridique était claire. Les conditions de l'art. 257d CO sont dès lors réalisées.</w:t>
      </w:r>
    </w:p>
    <w:p>
      <w:r>
        <w:t>- 10 -</w:t>
      </w:r>
    </w:p>
    <w:p>
      <w:r>
        <w:rPr>
          <w:b/>
        </w:rPr>
        <w:t>E. 4</w:t>
      </w:r>
    </w:p>
    <w:p>
      <w:r>
        <w:t>Compte tenu de ce qui précède, l’appel, manifestement mal fondé, doit être rejeté selon le mode procédural de l’art. 312 al. 1 CPC. Le dossier de la cause sera retourné au juge de paix afin qu’il fixe au locataire, en raison de l’effet suspensif lié à l’appel (art. 315 al. 1 CPC), un nouveau délai pour libérer l’appartement et le garage-box litigieux. Les frais judiciaires, arrêtés à 400 fr. (art. 62 al. 3 et 69 al. 1 TFJC [tarif des frais judiciaires en matière civile du 28 septembre 2010 ; BLV 270.11.5]), seront mis à la charge de l’appelant, qui succombe (art. 106 al. 1 CPC). Il n’y a pas lieu d’allouer des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