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JL18.008728 vom 27. Juni 2018</w:t>
      </w:r>
    </w:p>
    <w:p>
      <w:r>
        <w:t>VD Tribunal cantonal, 2018-06-27, FR</w:t>
      </w:r>
    </w:p>
    <w:p>
      <w:r>
        <w:rPr>
          <w:b/>
        </w:rPr>
        <w:t xml:space="preserve">Quelle: </w:t>
      </w:r>
      <w:r>
        <w:t>https://mcp.opencaselaw.ch/entscheid/vd_gerichte_JL18.008728</w:t>
      </w:r>
    </w:p>
    <w:p>
      <w:r>
        <w:t>FR: VD_GERICHTE JL18.008728 du 27 juin 2018</w:t>
      </w:r>
    </w:p>
    <w:p>
      <w:r>
        <w:t>IT: VD_GERICHTE JL18.008728 del 27 giugno 2018</w:t>
      </w:r>
    </w:p>
    <w:p>
      <w:pPr>
        <w:pStyle w:val="Heading2"/>
      </w:pPr>
      <w:r>
        <w:t>Erwägungen</w:t>
      </w:r>
    </w:p>
    <w:p>
      <w:r>
        <w:rPr>
          <w:b/>
        </w:rPr>
        <w:t>E. 3</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w:t>
      </w:r>
    </w:p>
    <w:p>
      <w:r>
        <w:t>- 6 -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4A_343/2014 du 17 décembre 2014 consid. 3.2 et les réf.).</w:t>
      </w:r>
    </w:p>
    <w:p>
      <w:r>
        <w:rPr>
          <w:b/>
        </w:rPr>
        <w:t>E. 4</w:t>
      </w:r>
    </w:p>
    <w:p>
      <w:r>
        <w:t>- 7 -</w:t>
      </w:r>
    </w:p>
    <w:p>
      <w:r>
        <w:rPr>
          <w:b/>
        </w:rPr>
        <w:t>E. 4.1</w:t>
      </w:r>
    </w:p>
    <w:p>
      <w:r>
        <w:t>Les appelants invoquent en substance que leur carence dans le paiement du loyer serait due à un enchaînement de malheurs et que leur situation financière leur permettrait désormais de tout payer. Ils exposent qu’ils ne savent pas où aller avec leurs enfants de 4 et 9 ans et demandent à pouvoir rester dans leur appartement.</w:t>
      </w:r>
    </w:p>
    <w:p>
      <w:r>
        <w:rPr>
          <w:b/>
        </w:rPr>
        <w:t>E. 4.2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A cet égard,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4C_74/2006 du 12 mai 2006 consid. 3.2.1 ;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w:t>
      </w:r>
    </w:p>
    <w:p>
      <w:r>
        <w:t>- 8 - de quinze à vingt jours est admissible (CACI 12 août 2011/194 ; CACI 27 juillet 2011/175 et les réf. citées).</w:t>
      </w:r>
    </w:p>
    <w:p>
      <w:r>
        <w:rPr>
          <w:b/>
        </w:rPr>
        <w:t>E. 4.3</w:t>
      </w:r>
    </w:p>
    <w:p>
      <w:r>
        <w:t>En l'espèce, les appelants ne contestent pas que l'arriéré de loyer qui faisait l'objet de l'avis comminatoire n'a pas été payé dans le délai imparti. Ils invoquent en revanche le fait que l'appelante aurait perdu son emploi, que le couple se serait retrouvé dans une situation précaire, qui se serait désormais améliorée, et qu’ils ne sauraient pas où aller avec leurs enfants s'ils devaient quitter leur logement. Toutefois, ces arguments ne font pas obstacle à l'application de l'art. 257d CO, dont les conditions d’application sont réalisées. La difficulté de trouver un nouveau logement est en effet inhérente à toute expulsion. L'amélioration subséquente de la situation financière des locataires n'est pas davantage un moyen prévu par la loi pour empêcher que le bailleur obtienne l'expulsion. Les appelants ne soutiennent du reste pas le contraire.</w:t>
      </w:r>
    </w:p>
    <w:p>
      <w:r>
        <w:rPr>
          <w:b/>
        </w:rPr>
        <w:t>E. 5</w:t>
      </w:r>
    </w:p>
    <w:p>
      <w:r>
        <w:t>Compte tenu de ce qui précède, l’appel doit être rejeté selon le mode procédural de l’art. 312 al. 1 CPC. Le dossier de la cause sera retourné à la juge de paix afin qu’elle fixe aux locataires, en raison de l’effet suspensif lié à l’appel (art. 315 al. 1 CPC), un nouveau délai pour libérer l’appartement litigieux. Les frais judiciaires, arrêtés à 200 fr. (art. 62 al. 3, 69 al. 1 et 70 al. 4 TFJC [tarif des frais judiciaires en matière civile du 28 septembre 2010 ; RSV 270.11.5]), seront mis à la charge des appelants, qui succombent, solidairement entre eux (art. 106 al. 1 et 3 CPC). Il n’y a pas lieu d’allouer des dépens, l’intimée n’ayant pas été invitée à se déterminer sur l’appel.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