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JL16.046466 vom 29. Mai 2017</w:t>
      </w:r>
    </w:p>
    <w:p>
      <w:r>
        <w:t>VD Tribunal cantonal, 2017-05-29, FR</w:t>
      </w:r>
    </w:p>
    <w:p>
      <w:r>
        <w:rPr>
          <w:b/>
        </w:rPr>
        <w:t xml:space="preserve">Quelle: </w:t>
      </w:r>
      <w:r>
        <w:t>https://mcp.opencaselaw.ch/entscheid/vd_gerichte_JL16.046466</w:t>
      </w:r>
    </w:p>
    <w:p>
      <w:r>
        <w:t>FR: VD_GERICHTE JL16.046466 du 29 mai 2017</w:t>
      </w:r>
    </w:p>
    <w:p>
      <w:r>
        <w:t>IT: VD_GERICHTE JL16.046466 del 29 maggio 2017</w:t>
      </w:r>
    </w:p>
    <w:p>
      <w:pPr>
        <w:pStyle w:val="Heading2"/>
      </w:pPr>
      <w:r>
        <w:t>Erwägungen</w:t>
      </w:r>
    </w:p>
    <w:p>
      <w:r>
        <w:rPr>
          <w:b/>
        </w:rPr>
        <w:t>E. 3.1</w:t>
      </w:r>
    </w:p>
    <w:p>
      <w:r>
        <w:t>L'appelante soutient que le cas ne serait pas clair, le comportement de l'intimé ayant été contradictoire et déloyal. Elle explique que, son appartement ayant brûlé au mois de février 2016, elle n’aurait pas pu l’occuper jusqu’à la mi-juillet 2016 et que la gérance lui aurait laissé entendre qu'elle pouvait prétendre à un non-paiement du loyer ou à sa diminution, ce qui serait attesté par la lettre adressée le 13 décembre 2016 au premier juge par son assistante sociale.</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w:t>
      </w:r>
    </w:p>
    <w:p>
      <w:r>
        <w:t>- 9 -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w:t>
      </w:r>
    </w:p>
    <w:p>
      <w:r>
        <w:rPr>
          <w:b/>
        </w:rPr>
        <w:t>E. 3.2.2</w:t>
      </w:r>
    </w:p>
    <w:p>
      <w:r>
        <w:t>Aux termes de l'art. 257d CO, lorsque, après la réception de la chose, le locataire a du retard pour s'acquitter d'un terme ou de frais</w:t>
      </w:r>
    </w:p>
    <w:p>
      <w:r>
        <w:t>- 10 -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cf. CREC I 25 mars 2010/151).</w:t>
      </w:r>
    </w:p>
    <w:p>
      <w:r>
        <w:rPr>
          <w:b/>
        </w:rPr>
        <w:t>E. 3.2.3</w:t>
      </w:r>
    </w:p>
    <w:p>
      <w:r>
        <w:t>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 La résiliation est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 il en va de même d'un retard de huit jours dans le paiement du montant dû (TF 4A_306/2015 du 14 octobre 2015 consid. 2 ; ATF 140 III 591 consid. 3.2 et les réf. citées).</w:t>
      </w:r>
    </w:p>
    <w:p>
      <w:r>
        <w:t>- 11 - Le caractère douteux de certaines créances ne suffit pas pour invalider l'avis comminatoire (TF 4A_306/2015 du 14 octobre 2015 consid. 4.). Cette approche très restrictive s'explique par le but de la procédure de l'art. 257d CO, qui doit permettre au bailleur d'obtenir rapidement et sans complications particulières le paiement de la totalité du loyer et des charges, ou alors de mettre immédiatement fin au contrat, sans que le locataire puisse spéculer sur le fait que le bailleur renoncera peut-être à entreprendre des démarches qui lui coûteraient plus en temps et en frais que ne lui rapporterait l'encaissement du montant impayé (ATF 140 III 591 consid. 2). Le fardeau de la preuve d'une résiliation contraire à la bonne foi incombe au locataire (TF 4A_306/2015 du 14 octobre 2015 consid. 2 ; ATF 140 III 591 consid. 3.2 et les réf. citées). L'art. 257d CO permet de résilier immédiatement le contrat de bail à l'échéance du délai comminatoire si le montant exigé n'est pas payé. Il n'exige ni une seconde mise en demeure, ni même un simple rappel, quelles que soient les circonstances du cas particulier. Ne pas procéder à une démarche que la loi n'exige pas ne saurait être constitutif d'un abus de droit (ATF 140 III 591 consid. 5). N'est pas contraire à la bonne foi le donné congé en application de l'art. 257d CO, même lorsque le bailleur aurait pu résilier plus tôt le bail de manière extraordinaire (TF 4A_184/2015 du 11 août 2015 consid. 4.4, non publié in ATF 141 III 262).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favorable pour lui, il n'avait droit qu'à une somme nettement moins élevée que celle réclamée initialement</w:t>
      </w:r>
    </w:p>
    <w:p>
      <w:r>
        <w:t>- 12 - dans la sommation (TF 4C.65/2003 du 23 septembre 2002 consid. 4.2.2). Conformément à cette jurisprudence, est contraire au principe de la bonne foi la résiliation donnée alors que les parties étaient en pourparlers transactionnels sur une réduction de loyer réclamée par le locataire et que le bailleur avait admis le principe d'une indemnisation pour les défauts de la chose louée en proposant un montant de 4'000 fr. à ce titre dans le délai comminatoire, alors que la sommation portait sur un montant de l'ordre de 7000 fr. (CACI 7 mars 2012/113, in CdB 2012 p. 91).</w:t>
      </w:r>
    </w:p>
    <w:p>
      <w:r>
        <w:rPr>
          <w:b/>
        </w:rPr>
        <w:t>E. 3.4</w:t>
      </w:r>
    </w:p>
    <w:p>
      <w:r>
        <w:t>En l’espèce, dans le cadre de la procédure devant le juge de paix, l'assistante sociale de la locataire a produit une lettre dans laquelle elle a confirmé que la gérance et l'intimé avaient sous-entendu, à plusieurs reprises, que l'appelante pouvait prétendre à un non-paiement ou à un montant moindre des loyers concernant la période durant laquelle elle n'avait pu occuper son logement en raison de l'incendie du mois de février 2016. Contrairement à ce que semble penser l'intimé, il ne s'agit pas d'une pièce nouvelle, qui serait irrecevable à ce stade de la procédure, dès lors que ce document a été produit en première instance. Les loyers impayés concernent précisément la période durant laquelle l'appelante n'a pu occuper son appartement. Or, au regard du courrier précité, on doit admettre que la situation n'est pas claire, notamment sur les questions d'une éventuelle réduction ou suppression du loyer pendant la période durant laquelle l'appartement était inhabitable et du comportement de l'intimé qui pourrait être contradictoire et contraire à la bonne foi. Au regard de ces éléments, on ne peut considérer le cas comme étant clair, de sorte que la requête doit être déclarée irrecevable.</w:t>
      </w:r>
    </w:p>
    <w:p>
      <w:r>
        <w:t>- 13 -</w:t>
      </w:r>
    </w:p>
    <w:p>
      <w:r>
        <w:rPr>
          <w:b/>
        </w:rPr>
        <w:t>E. 4.1</w:t>
      </w:r>
    </w:p>
    <w:p>
      <w:r>
        <w:t>Pour ces motifs, l’appel doit être admis et la décision entreprise réformée en ce sens que la requête d’expulsion déposée par l’intimé est irrecevable. Les frais judiciaires de première instance, arrêtés à 300 fr., doivent être mis à la charge de la partie bailleresse, qui succombe (art. 106 al. 1 CPC). Dès lors qu’elle n’était pas assistée, la locataire n’a pas droit à des dépens de première instance.</w:t>
      </w:r>
    </w:p>
    <w:p>
      <w:r>
        <w:rPr>
          <w:b/>
        </w:rPr>
        <w:t>E. 4.2</w:t>
      </w:r>
    </w:p>
    <w:p>
      <w:r>
        <w:t>Les frais judiciaires de deuxième instance, arrêtés à 200 fr. (art. 62 al. 3 TFJC [tarif des frais judiciaires civils du 28 septembre 2010 ; RSV 270.11.5]), doivent être également mis à la charge de l’intimé, qui succombe (art. 106 al. 1 CPC). Compte tenu du fait que l’avocate de l’appelante n’est intervenue qu’au stade de la procédure d’appel et qu’elle a dû prendre connaissance du dossier, les dépens – fixés d'office (art. 105 al. 1 CPC) conformément au tarif des dépens en matière civile – doivent être arrêtés à 2'000 fr. (art. 3 al. 2 et 7 TDC [tarif des dépens en matière civile du 23 novembre 2010 ; RSV 270.11.6]). Il s’ensuit que l'intimé versera à l’appelante la somme de 2'000 fr. à titre de dépens.</w:t>
      </w:r>
    </w:p>
    <w:p>
      <w:r>
        <w:rPr>
          <w:b/>
        </w:rPr>
        <w:t>E. 4.3</w:t>
      </w:r>
    </w:p>
    <w:p>
      <w:r>
        <w:t>La liste des opérations et débours produite par Me Laura Emonet, conseil d’office de l’appelante, laisse apparaître que celle-ci a consacré 10h.18 à la cause et a invoqué 35 fr. 20 de débours. Le temps indiqué pour la correspondance avec la cliente paraît toutefois excessif, soit sept courriers de l’ordre de 20 à 25 minutes, de même que les six entretiens téléphoniques avec celle-ci. Le temps consacré paraît dès lors exagéré, étant rappelé que l’avocat d’office ne doit pas être rétribué pour des activités qui ne sont pas nécessaires à la défense de son client ou qui consistent en un soutien moral.</w:t>
      </w:r>
    </w:p>
    <w:p>
      <w:r>
        <w:t>- 14 - En définitive, il y a lieu d’admettre que le conseil d’office de l’appelante a consacré 9 heures à la cause, de sorte qu’au tarif horaire de 180 fr. hors TVA (art. 2 al. 1 let. a RAJ [règlement sur l’assistance judiciaire en matière civile du 7 décembre 2010 ; RSV 211.02.3]), Me Laure Emonet a droit à une indemnité arrêtée à 1'787 fr. 60, comprenant ses honoraires, par 1'620 fr., des débours, par 35 fr. 20, ainsi que la TVA à 8 % sur le tout, par 132 fr. 40. Dans la mesure de l’art. 123 CPC, l’appelante est tenue au remboursement de l’indemnité de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