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JL16.042712 vom 19. Dezember 2016</w:t>
      </w:r>
    </w:p>
    <w:p>
      <w:r>
        <w:t>VD Tribunal cantonal, 2016-12-19, FR</w:t>
      </w:r>
    </w:p>
    <w:p>
      <w:r>
        <w:rPr>
          <w:b/>
        </w:rPr>
        <w:t xml:space="preserve">Quelle: </w:t>
      </w:r>
      <w:r>
        <w:t>https://mcp.opencaselaw.ch/entscheid/vd_gerichte_JL16.042712</w:t>
      </w:r>
    </w:p>
    <w:p>
      <w:r>
        <w:t>FR: VD_GERICHTE JL16.042712 du 19 décembre 2016</w:t>
      </w:r>
    </w:p>
    <w:p>
      <w:r>
        <w:t>IT: VD_GERICHTE JL16.042712 del 19 dicembre 2016</w:t>
      </w:r>
    </w:p>
    <w:p>
      <w:pPr>
        <w:pStyle w:val="Heading2"/>
      </w:pPr>
      <w:r>
        <w:t>Erwägungen</w:t>
      </w:r>
    </w:p>
    <w:p>
      <w:r>
        <w:rPr>
          <w:b/>
        </w:rPr>
        <w:t>E. 3.1</w:t>
      </w:r>
    </w:p>
    <w:p>
      <w:r>
        <w:t>Nonobstant le silence de la loi sur ce point, l’acte d’appel doit comporter des conclusions sur le fond qui permettent à l’instance d’appel – dans l’hypothèse où elle aurait décidé d’admettre l’appel – de statuer à nouveau (TF 4A_659/2011 du</w:t>
      </w:r>
    </w:p>
    <w:p>
      <w:r>
        <w:rPr>
          <w:b/>
        </w:rPr>
        <w:t>E. 3.2</w:t>
      </w:r>
    </w:p>
    <w:p>
      <w:r>
        <w:t>En l’espèce, l’appelante ne prend aucune conclusion ni n’articule clairement aucun moyen dont il ressortirait qu’elle conteste le principe de l’expulsion. Même lorsqu’elle fait référence à la plus-value résultant des travaux qu’elle aurait effectués dans les locaux loués avec l’autorisation du bailleur, lesquels se chiffreraient selon elle à plus de 700'000 fr., elle se contente d’invoquer leur « prise en compte », mais ne prend pas position</w:t>
      </w:r>
    </w:p>
    <w:p>
      <w:r>
        <w:t>- 9 - sur l’argumentation du premier juge quant à l’irrecevabilité, dans le cas d’espèce, de l’objection de compensation, de sorte que ce moyen, non motivé, est irrecevable en appel. A supposer recevable, le moyen tiré de la compensation des loyers en souffrance avec une éventuelle plus-value résultant de travaux effectués par l’appelante devrait de toute manière être rejeté pour les motifs pertinents exposés par le premier juge, à savoir que l’appelante n’a pas rendu vraisemblable avoir fait état de cette compensation en temps utile et qu’au surplus, la créance éventuelle en indemnisation de ladite plus-value n’est exigible qu’à la fin du bail, de sorte qu’elle ne peut fonder une compensation valable dans le délai comminatoire de l’art. 257d CO (art. 260a al. 3 CO ; Lachat, Le bail à loyer, 2e éd., Lausanne 2008, n. 4.6, p. 833). 4. 4.1 L’appelante ne conteste pas que les conditions posées par l’art. 257d CO sont réalisées. Elle requiert en revanche un report de la date d’évacuation fixée par le premier juge, au motif que son administrateur, Q.________, est sous l’effet d’une lourde médication depuis son agression, qui l’empêche de se défendre. Elle soutient en outre que le délai de départ imparti serait inadapté, compte tenu des démarches nécessaires au retrait des serveurs informatiques, à la désactivation et au retrait du système de surveillance, ainsi qu’à la libération de l’appartement de service, actuellement occupé par une famille. 4.2 4.2.1 Selon l’art. 257 al. 1 CPC, le tribunal admet l’application de la procédure sommaire lorsque les conditions suivantes sont réalisées : l’état de fait n’est pas litigieux ou est susceptible d’être immédiatement prouvé (let. a) et la situation juridique est claire (let. b). Cette procédure permet ainsi à la partie demanderesse d’obtenir rapidement une décision ayant l’autorité de chose jugée et la force exécutoire, lorsque la situation de fait et de droit n’est pas équivoque</w:t>
      </w:r>
    </w:p>
    <w:p>
      <w:r>
        <w:t>- 10 - (ATF 138 III 620 consid. 5.1.1).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 4.2.2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 arrêt du 27 février 1997, in Cahiers du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w:t>
      </w:r>
    </w:p>
    <w:p>
      <w:r>
        <w:t>- 11 - Si les conditions de l’expulsion sont remplies, le juge donne l’ordre au locataire d’évacuer les lieux, étant précisé que la requête d’expulsion en cas clair est recevable même lorsque le locataire a contesté la validité du congé et que la procédure en contestation est encore pendante. En effet, il ne suffit pas que le locataire, après l’introduction d’une requête en évacuation par le bailleur, ouvre action en constatation de ses prétendus droits contractuels sur la chose louée pour priver, ipso facto, le juge saisi en procédure sommaire de sa compétence d’examiner si les conditions de l’art. 257 al. 1 CPC sont réunies ou non (TF 4A_627/2013 du 8 avril 2014 consid. 2.2). Le juge saisi en cas clair peut statuer à titre préjudiciel sur la validité du congé, sans qu’il doive surseoir à statuer jusqu’à droit connu sur la procédure en contestation de la validité du congé (ATF 141 III 262 consid. 3 ; cf. Bohnet, Procédure en annulation du congé et cas clair en expulsion, Newsletter Bail.ch septembre 2015). 4.2.3 Des motifs humanitaires, qui ne sont pas pris en considération par les règles du droit du bail à loyer, n’entrent pas en ligne de compte dans l’hypothèse d’une résiliation pour non-paiement du loyer (TF 4A_252/2014 du 28 mai 2014 consid. 4.2 ; TF 4C_74/2006 du 12 mai 2006 consid. 3.2.1 ; Lachat, op. cit.,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1er janvier 2011], p. 203 et les réf. cit. ; CREC 28 juillet 2015/274 ; CREC 17 septembre 2013/314 consid. 3b ; CREC 8 mai 2013/149 consid. 3d ; CREC 15 janvier 2013/10 consid. 3d).</w:t>
      </w:r>
    </w:p>
    <w:p>
      <w:r>
        <w:t>- 12 - 4.3 En l’espèce, la réalisation des conditions posées par l’art. 257d CO n’est à juste titre pas contestée par l’appelante. Il ressort en effet du dossier que les délais visés par l’art. 257d CO ont été respectés par l’intimé et que le contenu de l’avis comminatoire était suffisamment clair pour que l’appelante comprenne qu’à défaut de règlement de l’arriéré de loyers réclamé dans cet avis avant l’échéance du délai comminatoire de 30 jours, le bail serait résilié. Or, l’appelante a admis lors de l’audience du 7 novembre 2016 que ledit arriéré n’avait pas été payé dans le délai comminatoire. C’est dès lors à bon droit que le premier juge a considéré que la résiliation du bail au sens de l’art. 257d al. 2 CO était valable, le fait que l’appelante ait contesté la validité du congé devant l’autorité de conciliation n’étant pas déterminant à cet égard. Quant au délai de trois semaines imparti par le premier juge pour libérer les locaux loués, celui-ci est certes légèrement inférieur au délai d’un mois prévu par la jurisprudence précitée. Il faut cependant relever que depuis le dépôt de la requête d’expulsion le 20 septembre 2016, trois mois se sont déjà écoulés et que du seul fait de la procédure d’appel, l’expulsion prévue initialement pour être exécutée le 3 décembre dernier a de fait été reportée. Ainsi, rien ne justifie, sous l’angle du principe de la proportionnalité, de reporter davantage la libération des locaux au vu de l’écoulement du temps lié au déroulement de la procédure. Au surplus, les motifs humanitaires liés à l’état de santé de l’administrateur de l’appelante, ainsi qu’à l’occupation de l’appartement de service par une famille, sont étrangers au but du bail, expressément destiné à une utilisation commerciale. De tels motifs, tenant à la personne de l’administrateur ou des employés de la société appelante, ne sauraient dès lors tenir en échec l’expulsion de ladite société. 5. Il résulte de ce qui précède que l’appel doit être rejeté selon le mode procédural de l’art. 312 al. 1 CPC et l’ordonnance entreprise confirmée.</w:t>
      </w:r>
    </w:p>
    <w:p>
      <w:r>
        <w:t>- 13 - Le délai de libération des locaux étant échu du fait de l’effet suspensif lié à l’appel, la cause doit être renvoyée au premier juge afin qu’il fixe à l’appelante un nouveau délai pour évacuer les lieux. Les frais judiciaires de deuxième instance, arrêtés à 2'062 fr. (art. 62 al. 1 et 3 TFJC [tarif des frais judiciaires en matière civile du 28 septembre 2010 ; RSV 270.11.5]), seront mis à la charge de l’appelante, qui succombe (art. 106 al. 1 CPC). Il n’y a pas lieu à l’allocation de dépens, l’intimé n’ayant pas été invité à se déterminer.</w:t>
      </w:r>
    </w:p>
    <w:p>
      <w:r>
        <w:rPr>
          <w:b/>
        </w:rPr>
        <w:t>E. 7</w:t>
      </w:r>
    </w:p>
    <w:p>
      <w:r>
        <w:t>décembre 2011 consid. 4, RSPC 2012 p. 128 et SJ 2012 I 31 ; CACI 19 août 2015/429 ; CACI 30 octobre 2014/565 ; Jeandin, CPC commenté, op. cit., n. 4 ad art. 311 CPC). Il ne saurait être remédié à des conclusions</w:t>
      </w:r>
    </w:p>
    <w:p>
      <w:r>
        <w:t>- 8 - déficientes par la fixation d’un délai selon l’art. 132 CPC, un tel vice n’étant pas d’ordre purement formel et affectant l’appel de façon irréparable (TF 4A_375/2015 du 26 janvier 2016 consid. 7.2 ; ATF 137 III 617, SJ 2012 I 373 et JdT 2014 II 187 ; TF 4A_659/2011 du 7 décembre 2011 consid. 5, RSPC 2012 p. 128 et SJ 2012 I 131 ; CACI 30 octobre 2014/565 ; Jeandin, op. cit., n. 5 ad art. 311 CPC). L’appel doit en outre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(TF 5A_396/2013 du 26 février 2014 consid. 5.3.1 ; ATF 138 III 374 consid. 4.3.1). L’appelant ne peut se contenter de renvoyer aux écritures précédentes ou aux moyens soulevés en première instance ; il doit expliquer en quoi son argumentation peut influer sur la solution retenue par les premiers juges (TF 4A_474/2013 du</w:t>
      </w:r>
    </w:p>
    <w:p>
      <w:r>
        <w:rPr>
          <w:b/>
        </w:rPr>
        <w:t>E. 10</w:t>
      </w:r>
    </w:p>
    <w:p>
      <w:r>
        <w:t>mars 2014 consid. 3.1 ; TF 5A_438/2012 du 27 août 2012 consid. 2.2, RSPC 2013 p. 29 ; TF 4A_659/2011 du 7 décembre 2011 consid. 3 et 4, RSPC 2012 p. 128 et SJ 2012 I 131). L'instance supérieure doit pouvoir comprendre ce qui est reproché au premier juge sans avoir à rechercher les griefs par elle-même, ce qui exige une certaine précision quant à l'énoncé et à la discussion des griefs (Jeandin, op. cit., n. 3 ad art. 311 CPC). A défaut de motivation suffisante, l'appel est irrecevable (TF 4A_651/2012 du 7 février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