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JL16.035819 vom 7. November 2016</w:t>
      </w:r>
    </w:p>
    <w:p>
      <w:r>
        <w:t>VD Tribunal cantonal, 2016-11-07, FR</w:t>
      </w:r>
    </w:p>
    <w:p>
      <w:r>
        <w:rPr>
          <w:b/>
        </w:rPr>
        <w:t xml:space="preserve">Quelle: </w:t>
      </w:r>
      <w:r>
        <w:t>https://mcp.opencaselaw.ch/entscheid/vd_gerichte_JL16.035819</w:t>
      </w:r>
    </w:p>
    <w:p>
      <w:r>
        <w:t>FR: VD_GERICHTE JL16.035819 du 7 novembre 2016</w:t>
      </w:r>
    </w:p>
    <w:p>
      <w:r>
        <w:t>IT: VD_GERICHTE JL16.035819 del 7 novembre 2016</w:t>
      </w:r>
    </w:p>
    <w:p>
      <w:pPr>
        <w:pStyle w:val="Heading2"/>
      </w:pPr>
      <w:r>
        <w:t>Erwägungen</w:t>
      </w:r>
    </w:p>
    <w:p>
      <w:r>
        <w:rPr>
          <w:b/>
        </w:rPr>
        <w:t>E. 3</w:t>
      </w:r>
    </w:p>
    <w:p>
      <w:r>
        <w:t>- 6 -</w:t>
      </w:r>
    </w:p>
    <w:p>
      <w:r>
        <w:rPr>
          <w:b/>
        </w:rPr>
        <w:t>E. 3.1</w:t>
      </w:r>
    </w:p>
    <w:p>
      <w:r>
        <w:t>L’appelante ne conteste pas que les conditions posées par l’art. 257d CO sont réalisées. Elle requiert en revanche un report de la date d’évacuation fixée par le premier juge.</w:t>
      </w:r>
    </w:p>
    <w:p>
      <w:r>
        <w:rPr>
          <w:b/>
        </w:rPr>
        <w:t>E. 3.2.1</w:t>
      </w:r>
    </w:p>
    <w:p>
      <w:r>
        <w:t>Selon l’art. 257 al. 1 CPC, le tribunal admet l’application de la procédure sommaire lorsque les conditions suivantes sont réalisées : l’état de fait n’est pas litigieux ou est susceptible d’être immédiatement prouvé (let. a) et la situation juridique est claire (let. b). Cette procédure permet ainsi à la partie demanderesse d’obtenir rapidement une décision ayant l’autorité de chose jugée et la force exécutoire, lorsque la situation de fait et de droit n’est pas équivoque (ATF 138 III 620 consid. 5.1.1). La situation juridique est claire lorsque, sur la base d’une doctrine ou d’une jurisprudence éprouvée, la norme s’applique au cas concret et y déploie ses effets de manière évidente (ATF 118 II 302 consid. 3, JdT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consid. 2.1.2 ; ATF 138 III 620 consid. 5.1.2).</w:t>
      </w:r>
    </w:p>
    <w:p>
      <w:r>
        <w:rPr>
          <w:b/>
        </w:rPr>
        <w:t>E. 3.2.2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consid. 4), cela même si l'arriéré a finalement été payé (TF, arrêt du 27 février 1997, in Cahiers du</w:t>
      </w:r>
    </w:p>
    <w:p>
      <w:r>
        <w:t>- 7 - bail [CdB] 3/97 pp. 65 ss). On relève toutefois que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w:t>
      </w:r>
    </w:p>
    <w:p>
      <w:r>
        <w:rPr>
          <w:b/>
        </w:rPr>
        <w:t>E. 3.2.3</w:t>
      </w:r>
    </w:p>
    <w:p>
      <w:r>
        <w:t>Des motifs humanitaires, qui ne sont pas pris en considération par les règles du droit du bail à loyer, n’entrent pas en ligne de compte dans l’hypothèse d’une résiliation pour non-paiement du loyer (TF 4A_252/2014 du 28 mai 2014 consid. 4.2 ; TF 4C_74/2006 du 12 mai 2006 consid. 3.2.1 ; Lachat, Le bail à loyer, 2e éd., 2008, note infrapaginale 117, p. 820).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consid. 2b). A cet égard, un délai d’un mois pour l’exécution forcée est jugé admissible par la jurisprudence vaudoise (Guignard, in Procédures spéciales vaudoises, 2008, n. 3 ad art. 21 aLPEBL [loi du 18 mai 1955 sur la procédure d’expulsion en matière de baux à loyer et à ferme, abrogée au 1er janvier 2011], p. 203 et les réf. cit. ; CREC 28 juillet 2015/274 ; CREC 17 septembre 2013/314 consid. 3b ; CREC 8 mai 2013/149 consid. 3d ; CREC 15 janvier 2013/10 consid. 3d).</w:t>
      </w:r>
    </w:p>
    <w:p>
      <w:r>
        <w:rPr>
          <w:b/>
        </w:rPr>
        <w:t>E. 3.3</w:t>
      </w:r>
    </w:p>
    <w:p>
      <w:r>
        <w:t>En l’espèce, la réalisation des conditions posées par l’art. 257d CO n’est à juste titre pas contestée par l’appelante. Dès lors que l’expulsion prononcée par le premier juge est fondée, il ne se justifie pas de critiquer le délai de libération imparti par ce magistrat, d’une durée d’un mois, qui est conforme à la jurisprudence. A toutes fins utiles, on relèvera que rien n’empêche les locataires, malgré le rejet de l’appel et la confirmation de l’ordonnance</w:t>
      </w:r>
    </w:p>
    <w:p>
      <w:r>
        <w:t>- 8 - d’expulsion, de négocier avec la bailleresse – si celle-ci y consent – un report de la date du départ des locaux.</w:t>
      </w:r>
    </w:p>
    <w:p>
      <w:r>
        <w:rPr>
          <w:b/>
        </w:rPr>
        <w:t>E. 4</w:t>
      </w:r>
    </w:p>
    <w:p>
      <w:r>
        <w:t>Au vu de ce qui précède, l’appel doit être rejeté selon le mode procédural de l’art. 312 al. 1 CPC et l’ordonnance querellée confirmée. Au vu de l’absence de chances de succès, la requête d’assistance judiciaire doit être également rejetée (art. 117 let. b CPC). Les frais judiciaires de deuxième instance, arrêtés à 400 fr. (art. 62 al. 3 et 69 al. 1 TFJC [tarif des frais judiciaires civils du 28 septembre 2010 ; RSV 270.11.5]), seront mis à la charge de l’appelante, qui succombe (art. 106 al. 1 CPC).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