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JL16.033199 vom 16. November 2016</w:t>
      </w:r>
    </w:p>
    <w:p>
      <w:r>
        <w:t>VD Tribunal cantonal, 2016-11-16, FR</w:t>
      </w:r>
    </w:p>
    <w:p>
      <w:r>
        <w:rPr>
          <w:b/>
        </w:rPr>
        <w:t xml:space="preserve">Quelle: </w:t>
      </w:r>
      <w:r>
        <w:t>https://mcp.opencaselaw.ch/entscheid/vd_gerichte_JL16.033199</w:t>
      </w:r>
    </w:p>
    <w:p>
      <w:r>
        <w:t>FR: VD_GERICHTE JL16.033199 du 16 novembre 2016</w:t>
      </w:r>
    </w:p>
    <w:p>
      <w:r>
        <w:t>IT: VD_GERICHTE JL16.033199 del 16 novembre 2016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l’appel doit être rejeté selon le mode procédural de l’art. 312 al. 1 CPC et l’ordonnance querellée confirmée. Les frais judiciaires de deuxième instance, arrêtés à 823 fr. (art. 62 al. 1 et 3 TFJC [tarif des frais judiciaires civils du 28 septembre 2010 ; RSV 270.11.5]), seront mis à la charge de l’appelante, qui succombe (art. 106 al. 1 CPC).</w:t>
      </w:r>
    </w:p>
    <w:p>
      <w:r>
        <w:t>- 13 - Le délai fixé pour la restitution des locaux étant échu en raison de l’effet suspensif lié à l’appel, il convient de renvoyer la cause au premier juge pour qu’il impartisse à la locataire un nouveau délai pour libérer les locaux litigieux. L’intimée n’ayant pas été invitée à se déterminer, il n’y a pas lieu de lui allouer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