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JL16.026563 vom 2. Februar 2017</w:t>
      </w:r>
    </w:p>
    <w:p>
      <w:r>
        <w:t>VD Tribunal cantonal, 2017-02-02, FR</w:t>
      </w:r>
    </w:p>
    <w:p>
      <w:r>
        <w:rPr>
          <w:b/>
        </w:rPr>
        <w:t xml:space="preserve">Quelle: </w:t>
      </w:r>
      <w:r>
        <w:t>https://mcp.opencaselaw.ch/entscheid/vd_gerichte_JL16.026563</w:t>
      </w:r>
    </w:p>
    <w:p>
      <w:r>
        <w:t>FR: VD_GERICHTE JL16.026563 du 2 février 2017</w:t>
      </w:r>
    </w:p>
    <w:p>
      <w:r>
        <w:t>IT: VD_GERICHTE JL16.026563 del 2 febbraio 2017</w:t>
      </w:r>
    </w:p>
    <w:p>
      <w:pPr>
        <w:pStyle w:val="Heading2"/>
      </w:pPr>
      <w:r>
        <w:t>Erwägungen</w:t>
      </w:r>
    </w:p>
    <w:p>
      <w:r>
        <w:rPr>
          <w:b/>
        </w:rPr>
        <w:t>E. 1</w:t>
      </w:r>
    </w:p>
    <w:p>
      <w:r>
        <w:t>Par ordonnance du 30 août 2016, la Juge de paix du district de l’Ouest lausannois a ordonné, pour le vendredi 30 septembre 2016 à midi, l’expulsion de la locataire U.________ SNC des locaux occupés dans l’immeuble sis route [...] à [...]. Le congé notifié par la bailleresse N.________ Sàrl était valable, la locataire n’ayant pas payé l’arriéré de loyer de 38'421 fr., dû pour le mois de novembre 2015, dans le délai comminatoire de trente jours imparti en vertu de l’art. 257d CO.</w:t>
      </w:r>
    </w:p>
    <w:p>
      <w:r>
        <w:rPr>
          <w:b/>
        </w:rPr>
        <w:t>E. 2</w:t>
      </w:r>
    </w:p>
    <w:p>
      <w:r>
        <w:t>Par lettre du 1er février 2017, U.________ SNC a déclaré retirer l’appel qu’elle avait déposé le 29 septembre 2016 contre l’ordonnance précitée. A l’appui de ce retrait, elle a produit une convention conclue entre elle-même et l’intimée N.________ Sàrl, selon laquelle « chaque partie garde ses frais et renonce à l’allocation de dépens pour l’ensemble des procédures énumérées […] », dont la procédure d’appel (chiffre XXIV).</w:t>
      </w:r>
    </w:p>
    <w:p>
      <w:r>
        <w:rPr>
          <w:b/>
        </w:rPr>
        <w:t>E. 3</w:t>
      </w:r>
    </w:p>
    <w:p>
      <w:r>
        <w:t>Aux termes de l’art. 43 al. 1 let. a CDPJ (Code de droit privé judiciaire vaudois du 12 janvier 2010 ; RSV 211.02), lorsque la Cour d’appel civile du Tribunal cantonal est compétente pour statuer sur le fond du litige, le juge délégué désigné par cette cour est compétent pour prendre acte des transactions, désistements et acquiescements, et statuer sur les frais de la cause, l’alinéa 2 de cette disposition ne concernant pas les décisions rendues sans audience de jugement. En l’espèce, il est de la compétence du juge délégué de céans de prendre acte du retrait de l’appel et de rayer la cause du rôle (art. 241 al. 3 CPC [Code de procédure civile du 19 décembre 2008 ; RS 272]).</w:t>
      </w:r>
    </w:p>
    <w:p>
      <w:r>
        <w:rPr>
          <w:b/>
        </w:rPr>
        <w:t>E. 4</w:t>
      </w:r>
    </w:p>
    <w:p>
      <w:r>
        <w:t>Les frais judiciaires de deuxième instance, réduits d’un tiers dès lors que l'appel a été retiré après que le dossier avait circulé auprès des membres de la cour (art. 67 al. 1 TFJC [tarif des frais judiciaires civils du 28 septembre 2010, RSV 270.11.5]), sont arrêtés à 923 fr. (1'384 fr. 20</w:t>
      </w:r>
    </w:p>
    <w:p>
      <w:r>
        <w:t>- 3 - x 2/3) (art. 62 al. 1 et al. 3 TFJC) et mis à la charge de l’appelante (art. 106 al. 1 CPC). Conformément au chiffre XXIV de la convention signée par les parties, il n’y a pas lieu d’allouer de dépens. Par ces motifs, le Juge délégué de la Cour d’appel civile prononce : I. Il est pris acte du retrait de l'appel. II. La cause est rayée du rôle. III. Les frais judiciaires de deuxième instance, arrêtés à 923 fr. (neuf cent vingt-trois francs), sont mis à la charge de l’appelante. IV. Il n’est pas alloué de dépens de deuxième instance. V. L'arrêt est exécutoire. Le juge délégué : La greffière :</w:t>
      </w:r>
    </w:p>
    <w:p>
      <w:r>
        <w:t>- 4 - Du Le présent arrêt, dont la rédaction a été approuvée à huis clos, est notifié à : - Me Sandra Genier Müller (pour U.________ SNC), - Mme Martine Schlaeppi, aab. (pour N.________ Sàrl), et communiqué, par l'envoi de photocopies, à : - Mme la Juge de paix du district de l’Ouest lausannois. Le Juge délégué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