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JL16.021124 vom 22. August 2016</w:t>
      </w:r>
    </w:p>
    <w:p>
      <w:r>
        <w:t>VD Tribunal cantonal, 2016-08-22, FR</w:t>
      </w:r>
    </w:p>
    <w:p>
      <w:r>
        <w:rPr>
          <w:b/>
        </w:rPr>
        <w:t xml:space="preserve">Quelle: </w:t>
      </w:r>
      <w:r>
        <w:t>https://mcp.opencaselaw.ch/entscheid/vd_gerichte_JL16.021124</w:t>
      </w:r>
    </w:p>
    <w:p>
      <w:r>
        <w:t>FR: VD_GERICHTE JL16.021124 du 22 août 2016</w:t>
      </w:r>
    </w:p>
    <w:p>
      <w:r>
        <w:t>IT: VD_GERICHTE JL16.021124 del 22 agosto 2016</w:t>
      </w:r>
    </w:p>
    <w:p>
      <w:pPr>
        <w:pStyle w:val="Heading2"/>
      </w:pPr>
      <w:r>
        <w:t>Erwägungen</w:t>
      </w:r>
    </w:p>
    <w:p>
      <w:r>
        <w:rPr>
          <w:b/>
        </w:rPr>
        <w:t>E. 1.1</w:t>
      </w:r>
    </w:p>
    <w:p>
      <w:r>
        <w:t>L'appel est ouvert contre les décisions finales de première instance pour autant que la valeur litigieuse, au dernier état des conclusions devant l'autorité inférieure, soit de 10'000 fr. au moins (art. 308 al. 1 let. a et al. 2 CPC).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 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 Lorsque la décision entreprise a été rendue en procédure sommaire, comme c'est le cas dans la procédure en cas clair (art. 248 let. b CPC), le délai d'appel est de dix jours (art. 314 al. 1 CPC).</w:t>
      </w:r>
    </w:p>
    <w:p>
      <w:r>
        <w:t>- 4 -</w:t>
      </w:r>
    </w:p>
    <w:p>
      <w:r>
        <w:rPr>
          <w:b/>
        </w:rPr>
        <w:t>E. 1.2</w:t>
      </w:r>
    </w:p>
    <w:p>
      <w:r>
        <w:t>En l'espèce, l'appel porte sur une décision rendue en cas clair dont la valeur litigieuse est supérieure à 10'000 francs. Il s’agit encore de déterminer si cet acte a été formé en temps utile. Selon l’art. 138 al. 3 let. a CPC, l’acte est réputé notifié, en cas d’envoi recommandé, lorsque celui-ci n’a pas été retiré à l’expiration d’un délai de sept jours à compter de l’échec de la remise. Cette présomption trouve également application en cas de demande de garde de courrier (ATF 134 V 49 consid. 4 ; TF 4A_476/2013 du 6 janvier 2014 consid. 2.1, SJ 2014 I 233 ; cf. ATF 141 II 429 consid. 3). On considère en d’autres termes que l’avis de retrait, qui mentionne l’existence du délai de garde de sept jours, parvient dans la sphère d’influence au moment où il est déposé à l’office de poste chargé de garder le courrier. En pareil cas, selon la jurisprudence, l'acte est réputé notifié le dernier jour du délai de garde de sept jours, et non point le dernier jour du délai de garde prolongé (ATF 113 Ib 87 consid. 2b). En l’occurrence, le pli recommandé est arrivé dans la sphère d’influence de l’appelant le 15 juillet 2016. Le délai légal de garde de sept jours est donc venu à échéance le 22 juillet 2016, même si la voisine de l’appelant a pu retirer le pli recommandé en date du 2 août 2016. En effet, conformément à la jurisprudence susmentionnée, la demande de prolongation du délai de garde du courrier n’était pas opérante s’agissant du point de départ du délai. Il apparaît ainsi que l’appel, formé le 11 août 2016, est manifestement tardif et, partant, irrecevable. Au demeurant, l’appel doit également être déclaré irrecevable pour les motifs qui suivent.</w:t>
      </w:r>
    </w:p>
    <w:p>
      <w:r>
        <w:rPr>
          <w:b/>
        </w:rPr>
        <w:t>E. 2.1</w:t>
      </w:r>
    </w:p>
    <w:p>
      <w:r>
        <w:t>L'appel doit être motivé (art. 311 al. 1 CPC). La motivation doit être suffisamment explicite pour que l'instance d'appel puisse la comprendre aisément, ce qui suppose une désignation précise des</w:t>
      </w:r>
    </w:p>
    <w:p>
      <w:r>
        <w:t>- 5 - passages de la décision que le recourant attaque et des pièces du dossier sur lesquelles repose sa critique (ATF 138 III 374 consid. 4.3.1). L'appelant ne peut se contenter de renvoyer aux écritures précédentes ou aux moyens soulevés en première instance ; il doit expliquer en quoi son argumentation peut influer sur la solution retenue par les premiers juges (TF 4A_659/2011 du 7 décembre 2011 consid. 3 et 4, RSPC 2012 p. 128, SJ 2012 I 231 ; TF 5A438/2012 du 27 août 2012 consid. 2.2, RSPC 2013 p. 29 ; TF 5D_148/2013 du 10 janvier 2014 consid. 5.2.1). L'instance supérieure doit pouvoir comprendre ce qui est reproché au premier juge sans avoir à rechercher les griefs par elle-même, ce qui exige une certaine précision quant à l'énoncé et à la discussion des griefs (Jeandin, CPC commenté, 2011, n. 3 ad art. 311 CPC). A défaut de motivation suffisante, l'appel est irrecevable (TF 4A_651/2012 du 7 février 2013 consid. 4.2), sans qu’il y ait lieu d’accorder un délai pour remédier au vice en vertu de l’art. 132 al. 1 CPC (TF 4A_659/2011 du 7 décembre 2011 consid. 5, SJ 2012 I 231) ou de l’art. 56 CPC (TF 4A_258/2015 du 21 octobre 2015 consid. 2.4.1).</w:t>
      </w:r>
    </w:p>
    <w:p>
      <w:r>
        <w:rPr>
          <w:b/>
        </w:rPr>
        <w:t>E. 2.2</w:t>
      </w:r>
    </w:p>
    <w:p>
      <w:r>
        <w:t>Au vu de la nature réformatoire de l'appel, l'appelant doit en principe prendre des conclusions au fond. Ces dernières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Ainsi, l'appelant ne saurait, sous peine d'irrecevabilité, se limiter à conclure à l'annulation de la décision attaquée. Il n'est fait exception à cette règle que si l'autorité, en cas d'admission du recours, ne serait de toute manière pas en mesure de statuer elle-même sur le fond, en particulier faute d'un état de fait suffisant, et ne pourrait que renvoyer la cause à l'autorité inférieure (cf. ATF 134 III 379 consid. 1.3 p. 383 et l'arrêt cité, JdT 2012 III 23). De même, lorsque l'appel est dirigé contre une décision de non-entrée en matière et que l'autorité d'appel ne pourra rendre une décision au fond, des conclusions en renvoi de la cause à l'autorité inférieure sont recevables (cf. TF 4A_241/2014 du 21 novembre 2014 consid. 1.2 et réf., ad art. 107 al. 2 LTF). Enfin, il doit exceptionnellement être entré en matière sur des conclusions</w:t>
      </w:r>
    </w:p>
    <w:p>
      <w:r>
        <w:t>- 6 - formellement déficientes, lorsqu'on comprend à la lecture de la motivation ce que demande l'appelant, respectivement à quel montant il prétend. Les conclusions doivent en effet être interprétées à la lumière de la motivation de l'appel (cf. notamment ATF 137 III 617 consid. 6.2, JdT 2014 II 187).</w:t>
      </w:r>
    </w:p>
    <w:p>
      <w:r>
        <w:rPr>
          <w:b/>
        </w:rPr>
        <w:t>E. 2.3</w:t>
      </w:r>
    </w:p>
    <w:p>
      <w:r>
        <w:t>En l’espèce, l’acte d’appel est dépourvu de toute motivation et de toute conclusion, dès lors que l’appelant se borne à expliquer qu’il a reçu l’ordonnance contestée le 2 août 2016 et qu’il fournira à la Cour de céans tous les documents nécessaires à l’examen de l’appel ultérieurement. Un tel défaut de motivation et de conclusions constitue un vice irréparable.</w:t>
      </w:r>
    </w:p>
    <w:p>
      <w:r>
        <w:rPr>
          <w:b/>
        </w:rPr>
        <w:t>E. 3</w:t>
      </w:r>
    </w:p>
    <w:p>
      <w:r>
        <w:t>Il s’ensuit que l’appel doit être déclaré irrecevable selon le mode procédural de l’art. 312 al. 1 CPC. Le délai de libération des locaux étant échu du fait de l’effet suspensif de l’appel (art. 315 al. 1 CPC), il convient de renvoyer la cause au premier juge pour qu’il fixe, le cas échéant, à l’appelant un nouveau délai pour libérer les locaux litigieux. L’arrêt peut être rendu sans frais judiciaires (art. 11 TFJC [tarif des frais judiciaires civils du 28 septembre 2010 ; RSV 270.11.5]).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