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JL16.002490 vom 3. Juni 2016</w:t>
      </w:r>
    </w:p>
    <w:p>
      <w:r>
        <w:t>VD Tribunal cantonal, 2016-06-03, FR</w:t>
      </w:r>
    </w:p>
    <w:p>
      <w:r>
        <w:rPr>
          <w:b/>
        </w:rPr>
        <w:t xml:space="preserve">Quelle: </w:t>
      </w:r>
      <w:r>
        <w:t>https://mcp.opencaselaw.ch/entscheid/vd_gerichte_JL16.002490</w:t>
      </w:r>
    </w:p>
    <w:p>
      <w:r>
        <w:t>FR: VD_GERICHTE JL16.002490 du 3 juin 2016</w:t>
      </w:r>
    </w:p>
    <w:p>
      <w:r>
        <w:t>IT: VD_GERICHTE JL16.002490 del 3 giugno 2016</w:t>
      </w:r>
    </w:p>
    <w:p>
      <w:pPr>
        <w:pStyle w:val="Heading2"/>
      </w:pPr>
      <w:r>
        <w:t>Erwägungen</w:t>
      </w:r>
    </w:p>
    <w:p>
      <w:r>
        <w:rPr>
          <w:b/>
        </w:rPr>
        <w:t>E. 3.1</w:t>
      </w:r>
    </w:p>
    <w:p>
      <w:r>
        <w:t>L'appelant ne conteste pas l'arriéré de loyer retenu par le premier juge et ne soutient pas non plus s'en être acquitté dans le délai comminatoire. Il expose sa situation personnelle, familiale et financière et se prévaut d'un accord oral avec le représentant de la partie intimée. Il</w:t>
      </w:r>
    </w:p>
    <w:p>
      <w:r>
        <w:t>- 6 - indique également les perspectives professionnelles qui devraient lui éviter à l'avenir de se retrouver dans une situation comparable à celle qui a été à l'origine de la procédure d'expulsion dont il fait l'objet.</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Ill 548 consid.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 TF 4A_252/2014 du 28 mai 2014 consid. 4.2 ; TF 4C_74/2006 du 12 mai 2006 consid. 3.2.1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w:t>
      </w:r>
    </w:p>
    <w:p>
      <w:r>
        <w:t>- 7 -</w:t>
      </w:r>
    </w:p>
    <w:p>
      <w:r>
        <w:rPr>
          <w:b/>
        </w:rPr>
        <w:t>E. 3.3</w:t>
      </w:r>
    </w:p>
    <w:p>
      <w:r>
        <w:t>En l’espèce, les circonstances personnelles, familiales et financières dont se prévaut l’appelant ne peuvent être prises en considération à ce stade de la procédure d'expulsion. Quant à la réalité d'un accord qui serait intervenu directement avec le représentant de la bailleresse, elle n'est pas établie. Au surplus, le délai de libération des locaux est conforme à la jurisprudence. L'appelante bénéficie d'ailleurs de facto d'un délai supplémentaire en raison de l'effet suspensif lié à l'appel.</w:t>
      </w:r>
    </w:p>
    <w:p>
      <w:r>
        <w:rPr>
          <w:b/>
        </w:rPr>
        <w:t>E. 4</w:t>
      </w:r>
    </w:p>
    <w:p>
      <w:r>
        <w:t>Mal fondé, l’appel doit être rejeté en application de l’art. 312 CPC et l’ordonnance confirmée. Le délai de libération des locaux étant échu du fait de l’effet suspensif lié à l’appel, la cause doit être renvoyée au premier juge afin qu’il fixe à l’appelant un nouveau délai pour évacuer les lieux. Dès lors que l’arriéré de loyer réclamé s’élevait à 1’000 fr., le montant des frais judiciaires sera arrêté à 100 fr. (art. 62 aI. 3 et 69 al. 1 TFJC) et mis à la charge de l’appelant, qui succombe (art. 106 al. 1 CPC).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