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JL15.043641 vom 22. März 2016</w:t>
      </w:r>
    </w:p>
    <w:p>
      <w:r>
        <w:t>VD Tribunal cantonal, 2016-03-22, FR</w:t>
      </w:r>
    </w:p>
    <w:p>
      <w:r>
        <w:rPr>
          <w:b/>
        </w:rPr>
        <w:t xml:space="preserve">Quelle: </w:t>
      </w:r>
      <w:r>
        <w:t>https://mcp.opencaselaw.ch/entscheid/vd_gerichte_JL15.043641</w:t>
      </w:r>
    </w:p>
    <w:p>
      <w:r>
        <w:t>FR: VD_GERICHTE JL15.043641 du 22 mars 2016</w:t>
      </w:r>
    </w:p>
    <w:p>
      <w:r>
        <w:t>IT: VD_GERICHTE JL15.043641 del 22 marzo 2016</w:t>
      </w:r>
    </w:p>
    <w:p>
      <w:pPr>
        <w:pStyle w:val="Heading2"/>
      </w:pPr>
      <w:r>
        <w:t>Erwägungen</w:t>
      </w:r>
    </w:p>
    <w:p>
      <w:r>
        <w:rPr>
          <w:b/>
        </w:rPr>
        <w:t>E. 3.1</w:t>
      </w:r>
    </w:p>
    <w:p>
      <w:r>
        <w:t>L’appelant conteste la réalisation des conditions du cas clair au sens de l’art. 257 al. 1 CPC, faisant valoir que la situation ne serait pas limpide et l’état de fait litigieux du fait que les montants de 1'065 fr., qu’il a versés mensuellement et systématiquement entre le 8 juillet et le 1er décembre 2015, ne seraient pas correctement retranscrits dans le décompte de la gérance H.________, lequel mentionne des montants de 1'025 francs.</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consid. 4), cela même si l'arriéré avait finalement été payé (TF, arrêt du 27 février 1997, in : Cahiers du bail [CdB] 3/97 pp. 65 ss).</w:t>
      </w:r>
    </w:p>
    <w:p>
      <w:r>
        <w:rPr>
          <w:b/>
        </w:rPr>
        <w:t>E. 3.2.2</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w:t>
      </w:r>
    </w:p>
    <w:p>
      <w:r>
        <w:t>- 7 -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œuvre d’une expertise – sera nécessaire pour trancher la question : cf. Bohnet, Le défendeur et le cas clair, in :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(ATF 141 III 262 consid. 4.2.1 ; TF 4A_350/2014 du 16 septembre 2014 consid. 2.1). Le fait pour le défendeur d'avancer des arguments sans proposer le moindre indice à leur appui et sans mentionner les preuves des moyens qu'il invoque ne remet pas en cause le cas clair (Bohnet, ibidem ; Bohnet, note in. RSPC 2013 p. 140 ; CACI 4 mars 2014/98, in : CdB 2014 p. 119 ; TF 4A_418/2014 du 18 août 2014 consid. 3). Ainsi, la situation juridique est claire lorsque, sur la base d'une doctrine ou d'une jurisprudence éprouvée, la norme s'applique au cas concret et y déploie ses effets de manière évidente (ATF 118 II 302 consid.</w:t>
      </w:r>
    </w:p>
    <w:p>
      <w:r>
        <w:t>- 8 - 3).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138 III 620 consid. 5.1.2 ; 138 III 123 consid. 2.1.2 ; TF 4A_282/2015 du 27 juillet 2015 consid. 2.14 ; TF 5A_68/2014 du 16 juin 2014 consid. 4.1, non publié à l'ATF 140 III 315).</w:t>
      </w:r>
    </w:p>
    <w:p>
      <w:r>
        <w:rPr>
          <w:b/>
        </w:rPr>
        <w:t>E. 3.3</w:t>
      </w:r>
    </w:p>
    <w:p>
      <w:r>
        <w:t>En l’espèce, le premier juge a fondé son ordonnance sur le fait qu’il avait été admis par le locataire que le loyer du mois de juin avait été versé le 10 juillet 2015 (recte : le 8 juillet 2015, selon récépissé postal) et que le solde du loyer du mois de mai et le loyer du mois de juillet n’avaient été payés que le 10 août 2015. Alors qu’il lui appartient de prouver l’extinction de sa dette avant l’échéance du délai comminatoire et qu’il supporte le fardeau de la preuve en vertu de l’art. 8 CC, l’appelant ne démontre pas qu’il se serait acquitté de l’entier du montant de 2'065 fr. concernant les arriérés de loyers réclamés avant le 5 août 2015, soit à l’échéance du délai comminatoire de trente jours. En particulier, l’appelant ne produit aucun récépissé postal attestant d’un paiement qui serait intervenu au mois de juin 2015. Quant au « compte locataire » établi et produit par la gérance le jour de l’audience devant le premier juge, il atteste simplement de ce que l’encaissement BVR du 10 juillet 2015 (recte : 8 juillet 2015) concernait le loyer de 1'025 fr. relatif au mois de juin 2015. S’il est vrai que les différences de 40 fr. par rapport aux récépissés postaux produits par l’appelant ne sont pas reportées dans le « compte locataire » de la gérance, elles ne permettent pas en tout état de cause de déduire que l’appelant se serait acquitté à temps de l’entier des arriérés de loyer litigieux, étant encore relevé que ces récépissés se rapportent, à l’exception de celui du mois d’avril 2015 pour un montant de 1'358 fr. 75 et qui n’est pas pertinent, ainsi que de celui du 8 juillet 2015, à une période postérieure à la date d’échéance de l’avis comminatoire.</w:t>
      </w:r>
    </w:p>
    <w:p>
      <w:r>
        <w:t>- 9 - Il s’ensuit que l’on ne saurait retenir que l’état de fait est litigieux, voire non prouvé par l’intimé, et que les conditions pour l’admission de la requête en cas clair ne seraient pas réalisées. On ne voit pas non plus que l’art. 257d CO aurait été violé, le retard de paiement retenu par le premier juge étant établi. C’est donc à raison que le premier juge, faisant application de la procédure sommaire (art. 248 et 257 CPC), a constaté la validité du congé et ordonné l’expulsion de l’appelant des locaux litigieux.</w:t>
      </w:r>
    </w:p>
    <w:p>
      <w:r>
        <w:rPr>
          <w:b/>
        </w:rPr>
        <w:t>E. 4</w:t>
      </w:r>
    </w:p>
    <w:p>
      <w:r>
        <w:t>En définitive, l’appel, manifestement infondé, doit être rejeté selon le mode procédural de l'art. 312 al. 1 CPC et l'ordonnance du 9 décembre 2015 confirmée. Le délai de libération des locaux étant échu eu égard à l'effet suspensif lié à l'appel, il convient de renvoyer la cause au premier juge pour qu'il fixe à l'appelant un nouveau délai pour libérer les locaux. Les frais judiciaires de deuxième instance, arrêtés à 200 fr. (art. 62 al. 3 et 69 al. 1 TFJC [tarif des frais judiciaires civils du 28 septembre 2010 ; RSV 270.11.5]), seront mis à la charge de l'appelant, qui succombe (art. 106 al. 1 CPC). Il n'y a pas lieu à l'allocation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