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JL15.035152 vom 4. November 2015</w:t>
      </w:r>
    </w:p>
    <w:p>
      <w:r>
        <w:t>VD Tribunal cantonal, 2015-11-04, FR</w:t>
      </w:r>
    </w:p>
    <w:p>
      <w:r>
        <w:rPr>
          <w:b/>
        </w:rPr>
        <w:t xml:space="preserve">Quelle: </w:t>
      </w:r>
      <w:r>
        <w:t>https://mcp.opencaselaw.ch/entscheid/vd_gerichte_JL15.035152</w:t>
      </w:r>
    </w:p>
    <w:p>
      <w:r>
        <w:t>FR: VD_GERICHTE JL15.035152 du 4 novembre 2015</w:t>
      </w:r>
    </w:p>
    <w:p>
      <w:r>
        <w:t>IT: VD_GERICHTE JL15.035152 del 4 novembre 2015</w:t>
      </w:r>
    </w:p>
    <w:p>
      <w:pPr>
        <w:pStyle w:val="Heading2"/>
      </w:pPr>
      <w:r>
        <w:t>Erwägungen</w:t>
      </w:r>
    </w:p>
    <w:p>
      <w:r>
        <w:rPr>
          <w:b/>
        </w:rPr>
        <w:t>E. 3</w:t>
      </w:r>
    </w:p>
    <w:p>
      <w:r>
        <w:t>a) Les appelants soutiennent que le cas n’est pas clair, car leur dossier aurait dû être traité par la commission de conciliation, qu’ils ont saisie dans les délais d’une requête en annulation du congé. b)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consid. 2.1.1; ATF 138 III 620 consid. 5.1.1). En matière de résiliation donnée en cas de demeure dans le paiement du loyer, la seule contestation du congé devant l’autorité de conciliation ne saurait impliquer un examen plus restrictif de la notion de cas clair. En effet, lorsque le locataire saisit parallèlement la Commission de conciliation aux fins de contester le congé, mais que les motifs invoqués à l’appui de la demande sont dénués de fondement, le juge de l’expulsion peut faire application de l’art. 257 CPC (Colombini, Condensé de la jurisprudence fédérale et vaudoise dès 2009 en matière de congé donné en raison du défaut de paiement du loyer, JdT 2012 III 37, n. 61, p. 67). Le juge saisi en cas clair peut ainsi statuer à titre préjudiciel sur la validité du congé, sans qu’il ne doive surseoir à statuer jusqu’à droit connu sur la procédure en contestation de la validité du congé (TF 4A_184/2015 du 11 août 2015 consid. 3, destiné à la publication ; cf. Bohnet, Procédure en annulation du congé et cas clair en expulsion, Newsletter Bail.ch septembre 2015). L’introduction par le locataire d’une requête de conciliation n’exclut ainsi nullement que le bailleur, de son côté, dépose une requête d’expulsion pour cas clair devant le juge de l’expulsion, à savoir le juge de paix, sans conciliation préalable (art. 198 let. a CPC), l’obligation de saisir l’autorité de conciliation selon l’art. 273c al. 1 CO (Code des obligations du 30 mars 1911 ; RS 220) valant pour tous les litiges, sauf en cas d’expulsion du locataire consécutive à une résiliation extraordinaire du bail (Conod, in Bohnet/Montini [éd.], Droit du bail à loyer, Commentaire pratique, 2010, n. 11 ad art. 273 CO). Dans un tel cas, la Commission de conciliation saisie par le locataire ne doit pas se dessaisir formellement de la cause, comme le prévoyait l’ancien art. 274g</w:t>
      </w:r>
    </w:p>
    <w:p>
      <w:r>
        <w:t>- 8 - al. 3 CO aujourd’hui abrogé, mais la suspendre jusqu’à droit connu sur la requête d’expulsion. Dans ce contexte l’art. 10 al. 2 LJB (loi sur la juridiction en matière de bail du 9 novembre 2010; RSV 173.655) n’a plus de portée pratique (Colombini, note in JdT 2011 III 85, ch. 4a et b ; CACI 10 juillet 2012/325). c) En l’espèce, la seule contestation par les appelants du congé auprès de la Commission de conciliation en matière de baux à loyer ne suffisait pas à empêcher l’application de la procédure en cas clair. Cette Commission a d’ailleurs informé la Justice de paix le 28 août 2015 qu’elle suspendait la requête en annulation du congé jusqu’à droit connu sur la procédure d’expulsion. Le premier juge a donc à juste titre statué sur la validité du congé. Sur la base des pièces au dossier, il a relevé qu’à l’échéance du délai comminatoire de trente jours, une partie de l’arriéré demeurait impayée et que la partie bailleresse était donc fondée à résilier le bail le 11 juin 2015 pour le 31 juillet 2015. Constatant que tant l’état de fait que la situation juridique étaient clairs, le premier juge a considéré que la procédure en cas clair pouvait trouver application et, partant, a admis la requête d’expulsion. Le raisonnement du premier juge doit être confirmé, les appelants n’ayant au demeurant produit aucune pièce permettant de douter du caractère clair de l’état de fait ou de la situation juridique en ce qui concerne le congé signifié pour demeure de paiement du loyer. Le grief est donc mal fondé.</w:t>
      </w:r>
    </w:p>
    <w:p>
      <w:r>
        <w:rPr>
          <w:b/>
        </w:rPr>
        <w:t>E. 4</w:t>
      </w:r>
    </w:p>
    <w:p>
      <w:r>
        <w:t>a) Sans contester ne pas avoir réglé l’entier de l’arriéré dans le délai comminatoire, les appelants font valoir que, compte tenu du fait que le bail prend irrévocablement fin au 31 mai 2016, qu’ils avaient régulièrement payé le loyer jusqu’à l’accident de l’appelant et qu’ils ont entretemps régularisé la situation, le bailleur n’aurait pas d’intérêt à ce qu’ils quittent les lieux avant cette date. b) Aux termes de l’art. 257d CO, lorsque, après la réception de la chose, le locataire a du retard pour s’acquitter d’un terme ou de frais accessoires échus, le bailleur peut lui fixer par écrit un délai de paiement</w:t>
      </w:r>
    </w:p>
    <w:p>
      <w:r>
        <w:t>- 9 -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arrêt du 27 février 1997, CdB 3/97 pp. 65 ss). A cet égard, des motifs humanitaires n'entrent pas en ligne de compte dans l'examen des conditions de l'art. 257d CO, dès lors qu'ils ne sont pas pris en considération par les règles de droit fédéral sur le bail à loyer (TF, arrêt du 27 février 1997 précité consid. 2b p. 68; TF 4A_252/2014 du 28 mai 2014 consid. 4.2; TF 4C_74/2006 du 12 mai 2006 consid. 3.2.1; Lachat, Le bail à loyer, 2e éd., 2008, note infrapaginale 117 p. 820).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 consid. 2.4). De telles circonstances particulières existent, par exemple, quand le bailleur, lors de la fixation du délai comminatoire, réclame au locataire une somme largement supérieure à celle en souffrance, sans être certain du montant effectivement dû, si le montant impayé est insignifiant, si l’arriéré a été réglé très peu de temps après l’expiration du délai</w:t>
      </w:r>
    </w:p>
    <w:p>
      <w:r>
        <w:t>- 10 - comminatoire, alors que le locataire s’était jusque-là toujours acquitté à temps du loyer ou encore si le bailleur résilie le contrat longtemps après l’expiration de ce délai. Il incombe au destinataire du congé de prouver les faits montrant que celui-ci contrevient aux règles de la bonne foi (TF 4C.430/2004 du 8 février 2005 consid. 3.1, SJ 2005 I 310 ; TF 4A_497/2011 du 22 décembre 2011 consid. 2.4 et les références ; ATF 140 III 591 consid. 1, CdB 2015 p. 16 note Conod). La jurisprudence a précisé que l’arriéré était réglé très peu de temps après l’expiration du délai comminatoire lorsqu’il l’était avec un jour de retard (TF 4A _634/2009 du 3 mars 2010 consid. 2.2), mais que tel n’était pas le cas lorsque le retard était de plus de deux semaines (TF 4A_493/2007 du 4 février 2008 consid. 4.2.5) ou même huit jours (TF 4A_549/2013 du 7 novembre 2013 consid. 4, confirmant CACI 2 octobre 2013/518). c) En l’espèce, le loyer du mois de mai 2015 faisant notamment l’objet de la commination n’a été réglé que le 23 juin 2015, soit plus de deux semaines après l’échéance du délai comminatoire, les comminations ayant été reçues par les appelants le 6 mai 2015. Dès lors que le loyer n’a pas été réglé très peu de temps après l’échéance du délai comminatoire, il importe peu que les locataires se soient auparavant acquitté régulièrement du loyer, cet élément constituant une condition supplémentaire, qui ne suffit pas à elle seule pour que le congé soit considéré comme contraire aux règles de la bonne foi. Pour le surplus, il n’est pas établi que le bail prendrait de toute manière fin le 31 mai 2016 et quand bien même cette circonstance serait établie, elle ne ferait pas apparaître le congé extraordinaire comme contraire aux règles de la bonne foi. Partant, le grief est mal fondé.</w:t>
      </w:r>
    </w:p>
    <w:p>
      <w:r>
        <w:rPr>
          <w:b/>
        </w:rPr>
        <w:t>E. 5</w:t>
      </w:r>
    </w:p>
    <w:p>
      <w:r>
        <w:t>Les appelants font enfin valoir que la gérance leur aurait oralement promis qu’elle retirerait le congé si l’arriéré était payé d’ici fin juin 2015.</w:t>
      </w:r>
    </w:p>
    <w:p>
      <w:r>
        <w:t>- 11 -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CREC 30 juillet 2013/251 ; CACI 4 mars 2014/98, CdB 2014 p. 119 ; TF 4A_418/2014 du 18 août 2014 c. 3). En l’espèce, l’allégation des appelants n’est étayée par aucun indice et ces derniers n’ont d’ailleurs offert aucun moyen de preuve sur ce point, que ce soit en première ou en deuxième instance. Ce grief est donc lui aussi mal fondé.</w:t>
      </w:r>
    </w:p>
    <w:p>
      <w:r>
        <w:rPr>
          <w:b/>
        </w:rPr>
        <w:t>E. 6</w:t>
      </w:r>
    </w:p>
    <w:p>
      <w:r>
        <w:t>Il découle des considérants qui précèdent que l’appel doit être rejeté selon le mode procédural de l’art. 312 al. 1 CPC et l’ordonnance confirmée. Vu l’effet suspensif accordé à l’appel de par la loi (art. 315 al. 1 CPC), la cause doit être renvoyée au premier juge afin qu’il fixe aux appelants, une fois les considérants écrits du présent arrêt envoyés, un nouveau délai pour libérer les locaux en cause. Les frais judiciaires de deuxième instance, qui sont arrêtés à 100 fr. (art. 62 al. 3 et 69 al. 1 TFJC [tarif des frais judiciaires civils du 28 septembre 2010 ; RSV 270.11.5]), seront mis à la charge des appelants qui succombent,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