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JL14.003731 vom 10. Juni 2014</w:t>
      </w:r>
    </w:p>
    <w:p>
      <w:r>
        <w:t>VD Tribunal cantonal, 2014-06-10, FR</w:t>
      </w:r>
    </w:p>
    <w:p>
      <w:r>
        <w:rPr>
          <w:b/>
        </w:rPr>
        <w:t xml:space="preserve">Quelle: </w:t>
      </w:r>
      <w:r>
        <w:t>https://mcp.opencaselaw.ch/entscheid/vd_gerichte_JL14.003731</w:t>
      </w:r>
    </w:p>
    <w:p>
      <w:r>
        <w:t>FR: VD_GERICHTE JL14.003731 du 10 juin 2014</w:t>
      </w:r>
    </w:p>
    <w:p>
      <w:r>
        <w:t>IT: VD_GERICHTE JL14.003731 del 10 giugno 2014</w:t>
      </w:r>
    </w:p>
    <w:p>
      <w:pPr>
        <w:pStyle w:val="Heading2"/>
      </w:pPr>
      <w:r>
        <w:t>Erwägungen</w:t>
      </w:r>
    </w:p>
    <w:p>
      <w:r>
        <w:rPr>
          <w:b/>
        </w:rPr>
        <w:t>E. 1</w:t>
      </w:r>
    </w:p>
    <w:p>
      <w:r>
        <w:t>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2e éd., 2008, pp.</w:t>
      </w:r>
    </w:p>
    <w:p>
      <w:r>
        <w:t>- 5 - 749 ss ; JT 2011 III 43 ; TF 4A_634/2009 du 3 mars 2010 c. 1.1 ; SJ 2001 I 17 c. 1a ; ATF 119 II 147 c. 1). En l’espèce, le litige porte sur la validité de la résiliation d’un bail prévoyant un loyer mensuel de 1’300 fr. par mois. En prenant en considération la période de protection de trois ans (art. 271a al. 1 let. e CO),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l’intimée a requis l’application de la procédure pour les cas clairs (art. 257 CPC) et le premier juge en a fait application. Une telle procédure étant sommaire (art. 248 let. b CPC), le délai d’appel est de dix jours. Interjeté en temps utile par une partie qui y a un intérêt,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w:t>
      </w:r>
    </w:p>
    <w:p>
      <w:r>
        <w:t>- 6 -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 bordereau de pièces produit en deuxième instance par l’appelant est identique à celui figurant dans le dossier de première instance. Il est en conséquence recevable. En revanche, le courriel du 1er avril 2011, dont on ignore s’il s’agit d’un projet ou s’il a été envoyé est contemporain de l’audience de première instance. Cette pièce nouvelle est irrecevable, dès lors que l’appelant n’a pas invoqué ni a fortiori démontré en quoi les conditions de l’art. 317 al. 1 CPC seraient réalisées.</w:t>
      </w:r>
    </w:p>
    <w:p>
      <w:r>
        <w:rPr>
          <w:b/>
        </w:rPr>
        <w:t>E. 3</w:t>
      </w:r>
    </w:p>
    <w:p>
      <w:r>
        <w:t>Le premier juge a considéré que les conditions du cas clair étaient réalisées. a) Selon l’art. 257 CPC, le tribunal admet l’application de la procédure sommaire lorsque l’état de fait n’est pas litigieux ou est susceptible d’être immédiatement prouvé (let. a) et lorsque la situation juridique est claire (let. b). De manière générale, l’art. 257 CPC n’est pas seulement applicable lorsque l’état de fait est incontesté, mais également lorsqu’il est susceptible d’être immédiatement prouvé (TF 4A_585/2011 du 7 novembre 2011 c. 3.3.1, traduit in SJ 2012 I 122), notamment sur la base de moyens de preuve immédiatement disponibles, en particulier des pièces (Sutter-Somm/Lötscher, Kommentar zur Schweizerischen Zivilprozessordnung, 2e éd., 2013, n. 5 ad art. 257 CPC, pp. 1671-1672;</w:t>
      </w:r>
    </w:p>
    <w:p>
      <w:r>
        <w:t>- 7 - Gösku, Schweizerische Zivilprozessordnung Kommentar, Brunner/Gasser/ Schwander Hrsg, 2011, n. 8 ad art. 257 CPC, p. 1497;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rendre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CACI 29 mars 2012/157 c. 3b; CACI 16 mai 2013/260 c. 3b).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w:t>
      </w:r>
    </w:p>
    <w:p>
      <w:r>
        <w:t>- 8 - C’est au regard de ces principes qu’il convient d’examiner les moyens de l’appelant. b) L’appelant fait valoir que dès lors qu’il n’a pas été directement convoqué à l’assemblée générale de l’intimée du 22 février 2012, mais par l’intermédiaire de son conseil en violation des statuts, la décision nommant T.________ administrateur de la société est nulle. Il soutient en conséquence que celui-ci ne pouvait valablement résilier le bail en cause. Selon la doctrine, sauf le cas de l’assemblée générale universelle prévue à l’art. 701 CO, le vice dans la convocation n’entraîne que l’annulabilité des décisions prises par l’assemblée générale et non la nullité de celles-ci (Peter/Cavadini, Commentaire romand, 2008, n. 9 ad art. 700 CO, p. 998 et référence). Les décisions annulables doivent être attaquées en justice dans un délai de deux mois dès l’assemblée générale, sous peine de péremption (art. 706a al. 1 CO). En l’espèce, l’appelant n’a pas allégué ni établi avoir contesté en justice la décision de nomination de l’administrateur T.________ dans le délai de deux mois dès l’assemblée générale du 22 février 2012. Nonobstant l’éventuel vice dans la convocation à cette assemblée, cette décision est donc pleinement valable. La situation juridique et de fait étant claire, c’est à juste titre que le premier juge a considéré que le moyen de l’appelant était inopérant. c) L’appelant conteste l’existence d’une dette de loyer, dès lors que son compte courant d’associé a toujours été créditeur. Selon l’art. 120 al. 1 CO, lorsque deux personnes sont débitrices l’une envers l’autre de sommes d’argent ou d’autres prestations de même espèce, chacune des parties peut compenser sa dette avec sa créance, si les deux dettes sont exigibles.</w:t>
      </w:r>
    </w:p>
    <w:p>
      <w:r>
        <w:t>- 9 - L’art. 124 al. 1 CO précise que la compensation n’a lieu qu’autant que le débiteur fait connaître au créancier son intention de l’invoquer, les usages particuliers du commerce en matière de compte courant étant réservés (art. 124 al. 3 CO). Selon la doctrine et la jurisprudence, le contrat de compte courant est le contrat par lequel deux personnes, pour une certaine période comptable ou jusqu’à un certain montant s’accordent d’un délai de paiement de sorte que seul le résultat du décompte, appelé solde, est l’objet d’une créance, savoir un accord de volonté en vue de substituer à la pluralité des créances réciproques une créance unique, celle du solde (Chaudet/Cherpillod/Landrove, Droit suisse des affaires, 3e éd., 2010, nos 2404 et 2405, p. 483 et références). L’expression « compte courant » n’est pas décisive, car elle peut désigner simplement une forme de comptabilité ; sont importantes en revanche l’existence de balance périodique et de reports à compte nouveaux (ATF 40 II, 405 JT 1914 I 625 cité par Braconi/Carron/Scyboz, CO annoté, 9e éd. 2013, p.107). En matière non bancaire, le contrat de compte courant ne se présume pas et doit donc faire l’objet d’une convention expresse (Chaudet/Cherpillod/Landrove, op. cit., n° 2408, p. 484 et référence). En l’espèce, la simple mention « compte courant créanciers actionnaires » ne peut, vu les considérations qui précèdent, induire l’existence d’un contrat de compte courant au sens de la doctrine et de la jurisprudence susmentionnée entre les parties, mais atteste plutôt une forme de comptabilité. L’existence de ce compte ne dispensait donc pas l’appelant d’invoquer la compensation pour que celle-ci soit effective. En outre, dans le cadre de l’art. 257d CO, la déclaration de compensation devait intervenir, comme l’a relevé à juste titre le premier juge, dans le délai de sommation de trente jours pour faire obstacle à la résiliation du bail (ATF 119 II 241 c. 6b/bb ; TF 4C_140/2006 du 14 août 2006 c. 4.1.1 ; CACI 28 novembre 2011/376).</w:t>
      </w:r>
    </w:p>
    <w:p>
      <w:r>
        <w:t>- 10 - Là également, la situation juridique et de fait est claire et c’est à juste titre que le premier juge n’a pas retenu le moyen de l’appelant. d) Le recourant conteste qu’un contrat de bail ait été conclu par les parties. Il ressort toutefois des pièces du dossier que l’intimée a conclu un contrat de bail relatif à l’appartement en question avec la société O.________ Sàrl, dont le seul gérant était l’appelant. Cette société a été radiée en décembre 2011. Depuis lors l’appelant a repris le bail à son nom, ce qui ressort notamment du procès-verbal de l’assemblée générale extraordinaire des actionnaires de l’intimée. L’appelant y confirme être le locataire de l’appartement en question, ce qu’il n’a jamais contesté. Là également, la situation juridique et de fait est claire. e)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alinéa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w:t>
      </w:r>
    </w:p>
    <w:p>
      <w:r>
        <w:t>- 11 - avait finalement a été payé (TF, arrêt du 27 février 1997, Cahiers du bail [CdB] 3/97 pp. 65 ss.). En l’espèce, l’ordonnance retient que l’appelant reconnaissait devoir les loyers en cause. L’arriéré n’a pas été acquitté ni fait l’objet d’une déclaration de compensation dans le délai imparti le 12 juillet 2013. L’art. 257d al. 2 CO donnait donc le droit à l’intimée de résilier le bail en cause pour le 30 septembre 2013 et d’obtenir du premier juge l’expulsion de l’appelant.</w:t>
      </w:r>
    </w:p>
    <w:p>
      <w:r>
        <w:rPr>
          <w:b/>
        </w:rPr>
        <w:t>E. 4</w:t>
      </w:r>
    </w:p>
    <w:p>
      <w:r>
        <w:t>En conclusion, l’appel doit être rejeté en application de l’art. 312 al. 1 CPC et l’ordonnance confirmée. Vu le rejet de l’appel, les frais judiciaires de deuxième instance, arrêtés à 1'347 fr. (art. 62 al. 1 et 3 TFJC [tarif du 28 septembre 2010 des frais judiciaires civils ; RSV 270.11.5]), doivent être mis à la charge de l’appelant (art. 106 al. 1 CPC). Le délai de libération des locaux étant passé du fait de l’effet suspensif accordé à l’appel, il convient de renvoyer la cause au premier juge, afin qu’il fixe à l’appelant un nouveau délai pour qu’il les libère.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