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JL13.032382 vom 18. November 2013</w:t>
      </w:r>
    </w:p>
    <w:p>
      <w:r>
        <w:t>VD Tribunal cantonal, 2013-11-18, FR</w:t>
      </w:r>
    </w:p>
    <w:p>
      <w:r>
        <w:rPr>
          <w:b/>
        </w:rPr>
        <w:t xml:space="preserve">Quelle: </w:t>
      </w:r>
      <w:r>
        <w:t>https://mcp.opencaselaw.ch/entscheid/vd_gerichte_JL13.032382</w:t>
      </w:r>
    </w:p>
    <w:p>
      <w:r>
        <w:t>FR: VD_GERICHTE JL13.032382 du 18 novembre 2013</w:t>
      </w:r>
    </w:p>
    <w:p>
      <w:r>
        <w:t>IT: VD_GERICHTE JL13.032382 del 18 novembre 2013</w:t>
      </w:r>
    </w:p>
    <w:p>
      <w:pPr>
        <w:pStyle w:val="Heading2"/>
      </w:pPr>
      <w:r>
        <w:t>Erwägungen</w:t>
      </w:r>
    </w:p>
    <w:p>
      <w:r>
        <w:rPr>
          <w:b/>
        </w:rPr>
        <w:t>E. 3</w:t>
      </w:r>
    </w:p>
    <w:p>
      <w:r>
        <w:t>a) L’appelante fait valoir que sa santé est très délicate, qu’elle a la charge de deux enfants et qu’elle s’est adressés à I’EVAM qui prend en charge une partie de son loyer. En revanche, elle reconnaît qu’elle doit le montant des impayés tels qu’exposés dans l’ordonnance d’expulsion.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w:t>
      </w:r>
    </w:p>
    <w:p>
      <w:r>
        <w:t>- 6 -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En outre, si l’état de santé d’un locataire doit être pris en considération dans le cadre d’une prolongation du bail (Lachat, op. cit., chap. 30, p. 775), il n’en va pas de même dans la procédure en expulsion fondée sur l’art. 257d CO, où toute prolongation est précisément exclue (cf. art. 272a al. 1 let. a CO). c) En l’espèce, l’appelante n’a pas payé l’arriéré de loyers dans le délai de trente jours imparti, lequel a commencé à courir le 27 avril 2013, soit le lendemain de la date à laquelle l’intéressée a retiré la mise en demeure à la poste, et est arrivé à échéance le 26 mai 2013. L’intimée était par conséquent fondée à résilier les baux à loyer concernés dans les trente jours, ce qu’elle a fait valablement par formule officielle du 27 mai 2013 pour le 30 juin 2013. Par ailleurs, l'expulsion a été requise en temps opportun, soit après l'expiration des baux à loyer au 30 juin 2013 (Lachat, op. cit., note infrapaginale 88, p. 816).</w:t>
      </w:r>
    </w:p>
    <w:p>
      <w:r>
        <w:t>- 7 - Les moyens allégués par l’appelante ne sont pas susceptibles de faire obstacle au droit conféré au bailleur de résilier les contrats de bail en application de l’art. 257d CO, au vu de la jurisprudence susmentionnée. Au demeurant, on notera que l’appelante a d’ores et déjà bénéficié d’une prolongation de fait de quelques semaines et obtiendra en sus un nouveau délai pour obtempérer en raison de l’effet suspensif lié à son appel.</w:t>
      </w:r>
    </w:p>
    <w:p>
      <w:r>
        <w:rPr>
          <w:b/>
        </w:rPr>
        <w:t>E. 4</w:t>
      </w:r>
    </w:p>
    <w:p>
      <w:r>
        <w:t>En conclusion, l’appel doit être rejeté en application de l’art. 312 al. 1 CPC et l’ordonnance entreprise confirmée. Vu l’effet suspensif accordé à l’appel de par la loi (art. 315 al. 1 CPC), la cause doit être renvoyée au premier juge afin qu’il fixe à l’appelante, une fois les considérants écrits du présent arrêt envoyés pour notification aux parties, un nouveau délai pour libérer les locaux en cause. Les frais judiciaires de deuxième instance sont arrêtés à 200 fr. (art. 62 al. 3 et 69 al. 1 TFJC [tarif des frais judiciaires en matière civile du 28 septembre 2010 ;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