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JL12.012894 vom 10. Juli 2012</w:t>
      </w:r>
    </w:p>
    <w:p>
      <w:r>
        <w:t>VD Tribunal cantonal, 2012-07-10, FR</w:t>
      </w:r>
    </w:p>
    <w:p>
      <w:r>
        <w:rPr>
          <w:b/>
        </w:rPr>
        <w:t xml:space="preserve">Quelle: </w:t>
      </w:r>
      <w:r>
        <w:t>https://mcp.opencaselaw.ch/entscheid/vd_gerichte_JL12.012894</w:t>
      </w:r>
    </w:p>
    <w:p>
      <w:r>
        <w:t>FR: VD_GERICHTE JL12.012894 du 10 juillet 2012</w:t>
      </w:r>
    </w:p>
    <w:p>
      <w:r>
        <w:t>IT: VD_GERICHTE JL12.012894 del 10 luglio 2012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l'appel doit être rejeté dans la procédure de l'art. 312 al. 1 CPC et l'ordonnance du 5 juin 2012 confirmée.</w:t>
      </w:r>
    </w:p>
    <w:p>
      <w:r>
        <w:rPr>
          <w:b/>
        </w:rPr>
        <w:t>E. 5</w:t>
      </w:r>
    </w:p>
    <w:p>
      <w:r>
        <w:t>Les frais judiciaires de deuxième instance, arrêtés à 100 fr. (art. 62 al. 2 et 69 al. 1 TFJC [tarif du 28 septembre 2010 des frais judiciaires civils, RSV 270.11.5]), sont mis à la charge de l'appelant, qui succombe (art. 106 al. 1 CPC).</w:t>
      </w:r>
    </w:p>
    <w:p>
      <w:r>
        <w:t>- 11 - Il n'y a pas lieu à l'allocation de dépens de deuxième instance, l'intimée n'ayant pas été invitée à déposer une réponse. Vu l'effet suspensif accordé à l'appel de par la loi (art. 315 al. 1 CPC), la cause doit être renvoyée au premier juge afin qu'il fixe à l'appelant, une fois les considérants écrits du présent arrêt envoyés, un nouveau délai pour libérer les locaux en cause. En application de l'art. 334 al. 1 CPC, le dispositif de l'arrêt du 10 juillet 2012 doit être rectifié d'office en ce sens. L'appel étant d'emblée dénué de chances de succès, la demande d'assistance judiciaire doit être rejetée.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