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JL11.037863 vom 16. Januar 2012</w:t>
      </w:r>
    </w:p>
    <w:p>
      <w:r>
        <w:t>VD Tribunal cantonal, 2012-01-16, FR</w:t>
      </w:r>
    </w:p>
    <w:p>
      <w:r>
        <w:rPr>
          <w:b/>
        </w:rPr>
        <w:t xml:space="preserve">Quelle: </w:t>
      </w:r>
      <w:r>
        <w:t>https://mcp.opencaselaw.ch/entscheid/vd_gerichte_JL11.037863</w:t>
      </w:r>
    </w:p>
    <w:p>
      <w:r>
        <w:t>FR: VD_GERICHTE JL11.037863 du 16 janvier 2012</w:t>
      </w:r>
    </w:p>
    <w:p>
      <w:r>
        <w:t>IT: VD_GERICHTE JL11.037863 del 16 gennaio 2012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définitive, l'appel doit être admis et l'ordonnance réformée.</w:t>
      </w:r>
    </w:p>
    <w:p>
      <w:r>
        <w:t>- 13 - Vu l'effet suspensif conféré à l'appel (art. 315 al. 1 CPC), la cause doit être renvoyée au juge de paix, afin qu'il fixe aux locataires un nouveau délai pour libérer les locaux qu'ils occupent dans l'immeuble sis [...], à [...], une fois les considérants écrits du présent arrêt envoyés pour notification aux parties.</w:t>
      </w:r>
    </w:p>
    <w:p>
      <w:r>
        <w:rPr>
          <w:b/>
        </w:rPr>
        <w:t>E. 5</w:t>
      </w:r>
    </w:p>
    <w:p>
      <w:r>
        <w:t>Les intimés, qui succombent (art. 106 al. 1 CPC), doivent être chargés des dépens de première instance, qu'il convient de fixer à 985 francs. Ils supporteront en outre les frais de deuxième instance par 400 fr. (art. 69 par renvoi de l'art. 62 al. 3 TFJC [Tarif du 28 septembre 2010 des frais judiciaires civils, RSV 270.11.5]). Obtenant gain de cause, les appelants, qui ont procédé devant l'instance d'appel avec l'assistance d'un représentant professionnel au sens de l'art. 68 CPC, ont droit à l'allocation de dépens, arrêtés à 870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