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JL11.027685 vom 13. Januar 2012</w:t>
      </w:r>
    </w:p>
    <w:p>
      <w:r>
        <w:t>VD Tribunal cantonal, 2012-01-13, FR</w:t>
      </w:r>
    </w:p>
    <w:p>
      <w:r>
        <w:rPr>
          <w:b/>
        </w:rPr>
        <w:t xml:space="preserve">Quelle: </w:t>
      </w:r>
      <w:r>
        <w:t>https://mcp.opencaselaw.ch/entscheid/vd_gerichte_JL11.027685</w:t>
      </w:r>
    </w:p>
    <w:p>
      <w:r>
        <w:t>FR: VD_GERICHTE JL11.027685 du 13 janvier 2012</w:t>
      </w:r>
    </w:p>
    <w:p>
      <w:r>
        <w:t>IT: VD_GERICHTE JL11.027685 del 13 gennaio 2012</w:t>
      </w:r>
    </w:p>
    <w:p>
      <w:pPr>
        <w:pStyle w:val="Heading2"/>
      </w:pPr>
      <w:r>
        <w:t>Erwägungen</w:t>
      </w:r>
    </w:p>
    <w:p>
      <w:r>
        <w:rPr>
          <w:b/>
        </w:rPr>
        <w:t>E. 31</w:t>
      </w:r>
    </w:p>
    <w:p>
      <w:r>
        <w:t>mai 2011 et faisant l’objet du dossier en cours [...]. g) Le 18 juillet 2011, A.________ a saisi le Juge de paix du district de l’Ouest lausannois d’une requête d’expulsion (procédure sommaire en protection des cas clairs, art. 257 CPC), tendant à faire</w:t>
      </w:r>
    </w:p>
    <w:p>
      <w:r>
        <w:t>- 6 - prononcer l’expulsion de A. et B.Z.________ des locaux occupés dans l’immeuble sis [...] 1020 Renens (appartement no [...] sis au 3e étage en attique + cave). h) A la date de cette requête, la situation comptable se présentait comme suit: - Le solde du mois de janvier 2011, faisant l’objet de l’avis comminatoire de 40 fr. (Fr. 2’220.-- moins Fr. 2’180.--) a été réglé le 2 avril 2011. - Un acompte de 2’180 fr. a été payé le 2 avril 2011 concernant le mois de février 2011. - Le solde du mois de février 2011 a été payé le 2 mai 2011 par 40 francs. - Un acompte sur le mois de mars 2011 a été réglé le 2 mai 2011 par 2’180 francs. - Le solde du mois de mars 2011 a été payé le 16 mai 2011 à raison de 40 francs. - Les loyers des mois d’avril et mai 2011 ont été réglés en date du 16 mai 2011 à raison de 4'440 fr. (2 x Fr. 2’220.--). - L’indemnité d’occupation du mois de juin 2011 a été payée le 9 juin 2011. - L’indemnité d’occupation du mois de juillet 2011 a été réglée le 1er juillet 2011. Il ressort des extraits délivrés par l’Office des poursuites de l’Ouest lausannois le 27 avril 2011, au sens de l’art. 8a LP, que B.Z.________ a fait depuis le 17 septembre 2009 l’objet de poursuites à raison de 1'198’699 fr. 40 et d’actes de défaut de biens pour 152’044 fr. 45, tandis que A.Z.________ a fait depuis le 17 septembre 2009 l’objet de</w:t>
      </w:r>
    </w:p>
    <w:p>
      <w:r>
        <w:t>- 7 - poursuites à raison de 35’275 fr. 70 et d’actes de défaut de biens pour 4'969 fr. 30. i) Personne n’a comparu à l’audience du 6 octobre 2011.</w:t>
      </w:r>
    </w:p>
    <w:p>
      <w:r>
        <w:t>- 8 - En droit : 1. a) L'ordonnance contestée a été rendue le 6 octobre 2011, de sorte que les voies de droit sont régies par le CPC, entré en vigueur le 1er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c) L'appel, écrit et motivé, est introduit dans les dix jours à compter de la notification de la décision motivée si cette dernière a été rendue en procédure sommaire (art. 314 al. 1 CPC). En l'occurrence, la partie bailleresse a déposé une requête selon la procédure de protection en cas clair de l'art. 257 CPC, de sorte que s'applique la procédure sommaire. Dès lors, formé en temps utile par la partie locataire qui y a intérêt, l'appel est recevable.</w:t>
      </w:r>
    </w:p>
    <w:p>
      <w:r>
        <w:t>- 9 - 2.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 dessus sur la base des pièces au dossier de première instance. 3. a) Les appelants font valoir qu'ils ont réglé l'arriéré de loyer et qu'ils sont aujourd'hui à jour dans le paiement de celui-ci, de sorte que la requête en expulsion de la partie bailleresse relèverait d’un abus de droit. En outre, ils soutiennent que comme il ne serait pas possible de résilier efficacement à deux reprises un même rapport contractuel, les deux résiliations successives de la bailleresse du 21 avril 2011 et du 21 juin 2011 n’en feraient dès lors qu’une juridiquement parlant ; or cette résiliation, unique donc d’un point de vue juridique, a été expressément retirée par courriers du 4 juillet 2011, de sorte que, en l’absence dès cette date de toute résiliation susceptible de produire des effets, c’est à tort que l’expulsion aurait été prononcée. Enfin, à l’encontre de l’art. 274g CO, l’ordonnance entreprise n’aurait pas examiné les arguments développés par les appelants dans le cadre de leurs contestations des prétendues résiliations ; or si la jurisprudence fédérale reconnaît certes que le juge de l’expulsion est compétent pour statuer sur la validité du congé ou la prolongation du bail, même si la procédure était déjà pendante devant l’autorité de conciliation ou le juge ordinaire, le droit fédéral impose alors de procéder à un examen approfondi tant en fait qu’en droit” (ATF 117 II 554), examen qui n’aurait pas été effectué en l’espèce.</w:t>
      </w:r>
    </w:p>
    <w:p>
      <w:r>
        <w:t>- 10 -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les appelants ne contestent pas avoir été en retard dans le paiement des loyers réclamés. Le délai de trente jours</w:t>
      </w:r>
    </w:p>
    <w:p>
      <w:r>
        <w:t>- 11 - imparti par les courriers du 16 février 2011 a commencé à courir le 17 février 2011, date à laquelle ces courriers leur ont été distribués. Ce délai est arrivé à échéance le 19 mars 2011, sans que les appelants n'aient établi avoir payé l'entier de l’arriéré réclamé à cette date, puisqu’il est au contraire établi que ce n’est que le 2 avril 2011 qu’ont été réglés le solde du mois de janvier 2011 ainsi qu’un acompte de 2’180 fr. pour le mois de février 2011, le solde du mois de février 2011 ayant été payé le 2 mai 2011 par 40 francs. L'art. 257d CO donnait dès lors le droit à l’intimé de résilier le bail en cause moyennant un délai de trente jours, ce qu'il a fait valablement le 21 avril 2011 pour le 31 mai 2011. C’est en vain que les appelants soutiennent que la résiliation donnée le 21 avril 2011 aurait été retirée par courriers du 4 juillet 2011, qui ne concernaient expressément que la deuxième résiliation signifiée le 21 juin 2011 ; en effet, que ce soit en raison d’un doute sur la validité d’une première résiliation ou pour toute autre raison, un bailleur peut parfaitement signifier une deuxième résiliation dont le sort juridique est indépendant du sort de la première. Par ailleurs, l'expulsion a été requise le 18 juillet 2011, soit après l'expiration du bail (Lachat, op. cit., note infrapaginale 88, p. 816). Enfin, vu la règle de l'art. 257d CO, il est sans importance que les appelants aient finalement réglé leurs arriérés de loyer, étant précisé que, comme on le verra, le congé donné en raison de la demeure des appelants n’est pas constitutif d’un abus de droit. d) Selon la jurisprudence, même si le congé donné en cas de demeure du locataire (art. 257d CO) est annulable en vertu des art. 271 ss CO, à l'exception des motifs prévus à l'art. 271a al. 1 let. d et e CO (art. 271a al. 3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w:t>
      </w:r>
    </w:p>
    <w:p>
      <w:r>
        <w:t>- 12 -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4C.35/2004 du 27 avril 2004 c. 3, 1, publié in SJ 2004 I 424; TF 4A_634/2009 du 3 mars 2010 c. 2.2.2). En l'espèce, ce n’est que deux semaines après l’échéance du délai comminatoire qu’ont été réglés le solde du loyer du mois de janvier 2011 ainsi qu’un acompte de 2’180 fr. sur le loyer du mois de février 2011, le solde du loyer du mois de février 2011 ayant été payé le 2 mai 2011 par 40 fr., de sorte que le congé donné le 21 avril 2011 n'était clairement pas abusif. e) Selon l'art. 274g al. 1 let. a aCO, lorsque le locataire conteste un congé extraordinaire et qu'une procédure d'expulsion est engagée contre lui, l'autorité compétente en matière d'expulsion statue aussi sur la validité du congé donné par le bailleur, notamment en cas de demeure du locataire au sens de l'art. 257d CO. L'article 274g al. 3 aCO précisait que si le locataire saisissait l'autorité de conciliation, celle-ci transmettait la requête à l'autorité compétente en matière d'expulsion. Ces dispositions ont été abrogées avec l'entrée en vigueur du CPC et celui-ci ne contient plus de disposition spécifique à l'expulsion, celle-ci suivant le cadre dans lequel elle intervient (Bohnet, Le droit du bail en procédure suisse, 16e Séminaire sur le droit du bail, p. 54), soit en l'espèce, les règles relatives au cas clair. La commission de conciliation</w:t>
      </w:r>
    </w:p>
    <w:p>
      <w:r>
        <w:t>- 13 - saisie d'une requête en contestation du congé n'a plus à transmettre la cause au juge de paix, mais il est opportun qu'elle suspende sa procédure jusqu'à droit connu sur celle pendante devant le juge de paix (Colombini, Note sur plusieurs questions liées à la procédure d'expulsion, JT 2011 III 84 spéc. n. 4a p. 85). Il n'en demeure pas moins que le juge de paix saisi d'une procédure en cas clair doit examiner si les motifs invoqués à l'appui de la demande d'annulation du congé sont dénués de fondement, étant précisé que la seule contestation devant l'autorité de conciliation ne saurait impliquer un examen plus restrictif de la notion de cas clair (JT 2011 III 146). En l'espèce, comme on l'a vu dans les considérants qui précèdent, les moyens invoqués par les appelants sont dénués de fondement. 4. En conclusion, l'appel doit être rejeté en application de l'art. 312 al. 1 CPC et l'ordonnance confirmée. Vu l'effet suspensif accordé à l'appel de par la loi (art. 315 al. 1 CPC), la cause doit être renvoyée au premier juge afin qu'il fixe aux appelants, une fois les considérants écrits du présent arrêt envoyé, un nouveau délai pour libérer les locaux en cause. Les frais judiciaires de deuxième instance, arrêtés à 200 fr. (art. 62 al. 1 et 3 TFJC [tarif du 28 septembre 2010 des frais judiciaires civils; RSV 270.11.5) sont mis à la charge des appelants, solidairement entre eux (art. 106 al. 3 CPC). Il n'y a pas lieu d'allouer de dépens de deuxième instance, dès lors que l'intimé n'a pas été invité à se déterminer sur l'appel et n'a donc pas encouru de frais pour la procédure de deuxième instance (cf. art. 95 al. 3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