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JL10.039799 vom 30. Mai 2011</w:t>
      </w:r>
    </w:p>
    <w:p>
      <w:r>
        <w:t>VD Tribunal cantonal, 2011-05-30, FR</w:t>
      </w:r>
    </w:p>
    <w:p>
      <w:r>
        <w:rPr>
          <w:b/>
        </w:rPr>
        <w:t xml:space="preserve">Quelle: </w:t>
      </w:r>
      <w:r>
        <w:t>https://mcp.opencaselaw.ch/entscheid/vd_gerichte_JL10.039799</w:t>
      </w:r>
    </w:p>
    <w:p>
      <w:r>
        <w:t>FR: VD_GERICHTE JL10.039799 du 30 mai 2011</w:t>
      </w:r>
    </w:p>
    <w:p>
      <w:r>
        <w:t>IT: VD_GERICHTE JL10.039799 del 30 maggio 2011</w:t>
      </w:r>
    </w:p>
    <w:p>
      <w:pPr>
        <w:pStyle w:val="Heading2"/>
      </w:pPr>
      <w:r>
        <w:t>Erwägungen</w:t>
      </w:r>
    </w:p>
    <w:p>
      <w:r>
        <w:rPr>
          <w:b/>
        </w:rPr>
        <w:t>E. 1</w:t>
      </w:r>
    </w:p>
    <w:p>
      <w:r>
        <w:t>a) L'ordonnance contestée a été rendue le 23 février 2011, de sorte que les voies de droit sont régies par le Code de procédure civile suisse du 19 décembre 2008 (ci-après : CPC; RS 272), entré en vigueur le 1er janvier 2011 (art. 405 al. 1 CPC).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w:t>
      </w:r>
    </w:p>
    <w:p>
      <w:r>
        <w:rPr>
          <w:b/>
        </w:rPr>
        <w:t>E. 3</w:t>
      </w:r>
    </w:p>
    <w:p>
      <w:r>
        <w:t>a) L'appelante fait valoir que lorsqu'une sommation porte à la fois sur des loyers échus et non échus, celle-ci n'est pas sans effets si le locataire est invité à s'acquitter de l'arriéré et que celui-ci est déterminable. Elle soutient qu'à la lecture de la sommation du 12 juillet 2010, l'intimée ne pouvait ignorer que les loyers des mois de juin et de juillet 2010 était échu, de sorte que dite sommation a porté effet et que le congé est valable faute de paiement de cet arriéré en temps utile. b/aa) L'art. 257d al. 1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et de locaux commerciaux, moyennant un délai de congé minimum de trente jours pour la fin d'un mois (al. 2). Aux termes de l'art. 7 al. 2 RULV, lorsque le locataire est en retard de plus de dix jours dans le paiement d'une mensualité et qu'il a</w:t>
      </w:r>
    </w:p>
    <w:p>
      <w:r>
        <w:t>- 8 -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cour de céans, l'art.</w:t>
      </w:r>
    </w:p>
    <w:p>
      <w:r>
        <w:rPr>
          <w:b/>
        </w:rPr>
        <w:t>E. 7</w:t>
      </w:r>
    </w:p>
    <w:p>
      <w:r>
        <w:t>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(CREC I 18 février 2010/89; CREC I 28 août 2007/420, résumé in Cahiers du Bail [CdB] 2007, p. 129), L'art. 257d CO présuppose un retard dans le paiement du loyer (Lachat, Commentaire romand, 2003, n. 2 ad art. 257d CO, p. 1332). L'avis comminatoire est dépourvu d'effet s'il porte sur un loyer qui n'est pas encore échu (Lachat, op. cit., n. 5 ad art. 257d CO, p. 1333). En d'autres termes, si le bailleur a des créances qui ne permettent pas l'application de cet article et d'autres qui la permettent, son courrier doit les distinguer de manière précise, de sorte que le locataire puisse reconnaître sans difficulté les dettes à éteindre pour éviter la résiliation du bail (Lachat, Le bail à loyer, 2008, p. 666; CREC I 25 mars 2010/151), la mention du montant de l'arriéré n'étant pas indispensable, l'indication des mois de calendrier suffisant (CdB 2000, p. 107, citant un arrêt du TF du 14 juin 2000). bb) Selon la jurisprudence, est inefficace le congé qui ne satisfait pas aux exigences légales ou contractuelles auxquelles est subordonné son exercice (ATF 135 III 441 c. 3.1 et référence, ATF 121 III</w:t>
      </w:r>
    </w:p>
    <w:p>
      <w:r>
        <w:t>- 9 - 156 précité; TF 4C.116/2005 précité). Le Tribunal fédéral donne comme exemple le congé motivé par le défaut de paiement du loyer alors qu'en réalité celui-ci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précité; TF 4C.116/2005 précité). Dans un arrêt de principe rendu à cinq juges, la Chambre des recours, se fondant sur ces considérations, a jugé inefficace le congé qui repose sur une mise en demeure portant sur un montant disproportionné par rapport au loyer effectivement dû (du simple au double). La Chambre des recours a motivé cette solution par le fait que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Une proportion du simple au double entre le montant effectivement dû et celui réclamé a été jugée disproportionnée (CREC I 18 janvier 2006/89 c. 3; confirmé par arrêt rendu à cinq juges CREC I 3 septembre 2010/457 c. 4). c) En l'espèce, les sommations du 12 juillet 2010 ne respectent pas la lettre de l'art. 7 RULV dans la mesure où l'appelante n'a pas procédé aux deux étapes distinctes voulues par la réglementation et la jurisprudence, savoir communiquer au locataire sa volonté d'obtenir le paiement par trimestre d'avance et, pour les loyers non acquittés trimestriellement, notifier ultérieurement la commination à la forme de l'art. 257d CO. En outre, on ne saurait considérer que lesdites sommations sont suffisamment précises pour permettre à la locataire de déterminer la dette à éteindre pour éviter la résiliation de bail. En effet, elles indiquent</w:t>
      </w:r>
    </w:p>
    <w:p>
      <w:r>
        <w:t>- 10 - toutes que les loyers des mois de juin, juillet, août et septembre sont échus. Enfin, à la date des sommations en cause, seuls les loyers des mois de juin et juillet étaient échus, soit un montant total du 21'990 fr. (9'750 + 10'000 + [2 x 600] + [2 x 520]), alors que l'appelante réclamait au total 47'410 fr. (39'750 + 5'260 + 2'400), soit un montant dépassant le double des loyers échus. Vu l'importance de cette différence, il y a lieu d'admettre que l'intimée ne pouvait faire la part des choses et était d'emblée dissuadée de payer quoi que ce soit de ce montant exagéré dont elle ne disposait peut-être pas. Il importe dès lors peu que l'intimée n'ait pas réglé dans le délai comminatoire les loyers effectivement échus. La solution du premier juge doit donc être confirmée. 4. En conclusion, l'appel doit être rejeté et l'ordonnance confirmée. Vu l'issue du litige, les frais judiciaires de deuxième instance, fixés à 1'474 fr. (art. 62 al. 1 et 3 TFJC [tarif du 28 septembre 2010 des frais judiciaires civils; RSV 270.11.5]), sont mis à la charge de l'appelante (art. 106 al. 1 CPC). Obtenant gain de cause, l'intimée à droit à des dépens de deuxième instance, fixés à 1'500 fr. (art. 106 al. 1 CPC; art. 7 TDC [tarif du 23 novembre 2010 des dépens en matière civile; RSV 270.11.6]).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