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JL10.020735 vom 2. Dezember 2010</w:t>
      </w:r>
    </w:p>
    <w:p>
      <w:r>
        <w:t>VD Tribunal cantonal, 2010-12-02, FR</w:t>
      </w:r>
    </w:p>
    <w:p>
      <w:r>
        <w:rPr>
          <w:b/>
        </w:rPr>
        <w:t xml:space="preserve">Quelle: </w:t>
      </w:r>
      <w:r>
        <w:t>https://mcp.opencaselaw.ch/entscheid/vd_gerichte_JL10.020735</w:t>
      </w:r>
    </w:p>
    <w:p>
      <w:r>
        <w:t>FR: VD_GERICHTE JL10.020735 du 2 décembre 2010</w:t>
      </w:r>
    </w:p>
    <w:p>
      <w:r>
        <w:t>IT: VD_GERICHTE JL10.020735 del 2 dicembre 2010</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Il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formé à temps, le recours est recevable. Le recourant n'ayant pas contesté le congé devant la commission de</w:t>
      </w:r>
    </w:p>
    <w:p>
      <w:r>
        <w:t>- 5 - conciliation compétente, le recours doit donc être examiné en droit sous l'angle restreint de l'arbitraire.</w:t>
      </w:r>
    </w:p>
    <w:p>
      <w:r>
        <w:rPr>
          <w:b/>
        </w:rPr>
        <w:t>E. 2</w:t>
      </w:r>
    </w:p>
    <w:p>
      <w:r>
        <w:t>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et a été complété sur la base de celles-ci, de sorte que la cour de céans est en mesure de statuer. Le recourant n'invoquant aucun grief pouvant s'apparenter à un moyen de nullité, les pièces produites en annexe au recours, dans la mesure où elles sont nouvelles, doivent être écartées. Il en va de même pour la pièce produite par l'intimé (Guignard, Procédures spéciales vaudoises, Lausanne 2008, n. 1 ad art. 25 LPEBL, p. 214).</w:t>
      </w:r>
    </w:p>
    <w:p>
      <w:r>
        <w:rPr>
          <w:b/>
        </w:rPr>
        <w:t>E. 3</w:t>
      </w:r>
    </w:p>
    <w:p>
      <w:r>
        <w:t>Selon la jurisprudence, le déni de justice au sens des art. 9 Cst. (Constitution fédérale du 18 avril 1999; RS 101 [anciennement art. 4 aCst.; FF 1997 I 146])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3ème éd., Lausanne 2002, n. 5 ad art. 356 CPC, p. 537). Il ne suffit pas que la motivation de la décision soit insoutenable; encore faut-il que celle-ci apparaisse arbitraire dans son résultat (ATF 128 I 273; ATF 126 III 438; ATF 125 I 166 c. 2a).</w:t>
      </w:r>
    </w:p>
    <w:p>
      <w:r>
        <w:t>- 6 -</w:t>
      </w:r>
    </w:p>
    <w:p>
      <w:r>
        <w:rPr>
          <w:b/>
        </w:rPr>
        <w:t>E. 4</w:t>
      </w:r>
    </w:p>
    <w:p>
      <w:r>
        <w:t>Le recourant fait valoir que la mise en demeure qui lui a été adressée le 12 ou le 14 mai 2010 indiquait faussement qu'une copie en était adressée à son conseil. Cette circonstance est toutefois sans incidence sur la validité de cette mise en demeure. Ce grief doit par conséquent être rejeté.</w:t>
      </w:r>
    </w:p>
    <w:p>
      <w:r>
        <w:rPr>
          <w:b/>
        </w:rPr>
        <w:t>E. 5</w:t>
      </w:r>
    </w:p>
    <w:p>
      <w:r>
        <w:t>a) Le recourant prétend encore qu'il a opposé en compensation de sa dette de loyer une créance découlant de l'inexécution d'un contrat de vente conclu avec l'intimé. b/aa)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les baux d'habitation et de locaux commerciaux peuvent être résiliés moyennant un délai de congé minimum de trente jours pour la fin d'un mois (art. 257d al. 2 CO). La jurisprudence a précisé que, lorsque le locataire n'avait pas réglé l'arriéré réclamé dans le délai comminatoire prévu à l'art. 257d al. 1 CO, il était en demeure et devait subir les conséquences juridiques de l'al. 2 de cette disposition, savoir la résiliation du bail moyennant un délai de congé de trente jours (ATF 127 III 548 c. 4). bb) Selon la doctrine et la jurisprudence, le locataire peut faire obstacle à l'application de l'art. 257d CO en invoquant la compensation (Lachat, Le bail à loyer, Lausanne 2008, p. 316), à condition que la créance compensatrice soit échue et exigible et que la compensation ait été invoquée avant l'échéance du délai de trente jours de l'art. 257d al. 1</w:t>
      </w:r>
    </w:p>
    <w:p>
      <w:r>
        <w:t>- 7 - CO (ATF 119 II 241 c. 6b/bb; TF 4C.174/1999 du 14 juillet 1999 c. 2b, publié in SJ 2000 I 78; TF 4C.140/2006 du 14 août 2006 c. 4.1.1). Il appartient à celui qui se prévaut de la compensation de prouver qu'il l'a invoquée valablement (Lachat, op. cit., p. 315, note infrapaginale 71; Cour civile du canton de Fribourg, 11 octobre 1996, Cahiers du bail [CdB] 1997 p. 6). Lachat précise que le locataire doit avertir l'autre partie, de préférence par écrit et sous pli recommandé, de sa décision d'invoquer la compensation (Lachat, op. cit., p. 315). Certes, la compensation n'est soumise à aucune forme et peut résulter d'actes concluants (Jeandin, Commentaire Romand, Code des obligations I, n. 1 ad art. 124 CO, p. 727). Toutefois, la jurisprudence et la doctrine exigent que le débiteur exprime clairement son intention de compenser; la déclaration doit permettre à son destinataire de comprendre, en fonction des circonstances, quelle est la créance compensée et quelle est la créance compensante (TF 4C.140/2006 précité; Engel, Traité des obligations en droit suisse, 2ème éd., 1997, p. 675). Une créance contestée peut être invoquée en compensation. Dans cette hypothèse, il appartient au juge de statuer sur l'existence de la créance invoquée, afin de décider si la compensation est possible (Lachat, op. cit., p. 314). Par prudence, le locataire n'opérera une telle compensation que si sa créance est incontestée ou incontestable, en particulier si elle résulte d'une reconnaissance de dette ou d'une décision judiciaire (Lachat, op. cit., p. 317). Il appartient en effet au locataire d'établir la validité de la créance compensante (Chambre d'appel du canton de Genève, 21 septembre 1998, CdB 1999 p. 27). cc) En l'espèce, la compensation invoquée n'a été ni alléguée ni prouvée par le recourant en première instance et elle ne découle pas du seul fait qu'il a ouvert action contre l'intimé devant la Cour civile. Le recourant n'est au surplus pas admis à produire à ce sujet des pièces en deuxième instance (cf. c. 2 supra). Partant, le moyen doit être rejeté.</w:t>
      </w:r>
    </w:p>
    <w:p>
      <w:r>
        <w:t>- 8 -</w:t>
      </w:r>
    </w:p>
    <w:p>
      <w:r>
        <w:rPr>
          <w:b/>
        </w:rPr>
        <w:t>E. 6</w:t>
      </w:r>
    </w:p>
    <w:p>
      <w:r>
        <w:t>a) Enfin, c'est à tort que le recourant invoque devant le juge saisi de la seule expulsion un droit à la possession tiré du contrat de vente susmentionné, qui relève du juge ordinaire. Ce dernier moyen doit ainsi également être rejeté. b) Le recourant a été mis en demeure de s'acquitter de la somme de 3'000 fr. représentant l'arriéré de loyer pour les mois d'avril et mai 2010, dans un délai de trente jours, sous menace expresse d'une résiliation de bail, par courrier recommandé du 12 ou 14 mai 2010. La commination est ainsi conforme aux exigences de l'art. 257d al. 1 CO. Le montant réclamé n'ayant pas été versé dans le délai comminatoire imparti, l'intimé était dès lors autorisé à résilier le contrat conformément à l'art. 257d al. 2 CO. Il a adressé au recourant l'avis de résiliation pour le 31 juillet 2010 par formule officielle du 23 juin 2010, soit après l'échéance du délai de paiement. L'échéance du délai de congé respecte la durée minimum de trente jours prévue par la loi. C'est dès lors à juste titre que le premier juge a considéré que l'expulsion du recourant pouvait être ordonnée.</w:t>
      </w:r>
    </w:p>
    <w:p>
      <w:r>
        <w:rPr>
          <w:b/>
        </w:rPr>
        <w:t>E. 7</w:t>
      </w:r>
    </w:p>
    <w:p>
      <w:r>
        <w:t>Cela étant, le recours doit être rejeté et l'ordonnance confirmée. L'effet suspensif ayant été accordé au recours, la cause sera renvoyée au premier juge pour qu'il fixe à nouveau le délai de libération des locaux actuellement occupés par le recourant, une fois les considérants écrits du présent arrêt envoyés pour notification aux parties. Les frais de deuxième instance du recourant sont arrêtés à 300 francs (art. 230 al. 1 TFJC [tarif du 4 décembre 1984 des frais judicaires en matière civile; RSV 270.11.5]). Obtenant gain de cause, l'intimé a droit à des dépens de deuxième instance (art. 91 et 92 CPC), qu'il convient de fixer à 800 fr. (art.</w:t>
      </w:r>
    </w:p>
    <w:p>
      <w:r>
        <w:t>- 9 - 2 al. 1 ch. 33 et art. 3 TAv [tarif du 17 juin 1986 des honoraires d'avocat dus à titre de dépens; RSV 177.11.3]). Par ces motifs, la Chambre des recours du Tribunal cantonal, statuant à huis clos, prononce : I. Le recours est rejeté. II. L'ordonnance est confirmée. III. La cause est renvoyée au Juge de paix du district de la Riviera – Pays-d'Enhaut pour qu'il fixe à G.________, une fois les considérants écrits du présent arrêt envoyés pour notification aux parties, un nouveau délai pour libérer les locaux que ce dernier occupe dans l'immeuble sis [...], à Montreux (appartement de 3,5 pièces au 2ème étage + une cave). IV. Les frais de deuxième instance du recourant sont arrêtés à 300 fr. (trois cents francs). V. Le recourant G.________ doit verser à l'intimé Z.________ la somme de 800 fr. (huit cents francs) à titre de dépens de deuxième instance. VI. L'arrêt motivé est exécutoire. Le président : Le greffier :</w:t>
      </w:r>
    </w:p>
    <w:p>
      <w:r>
        <w:t>- 10 - Du 2 décembre 2010 Le dispositif de l'arrêt qui précède est communiqué par écrit aux intéressés. Le greffier : Du L'arrêt qui précède, dont la rédaction a été approuvée à huis clos, est notifié à : - Me Alex Wagner (pour G.________), - Me Astyanax Peca (pour Z.________).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