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JL10.017517 vom 23. September 2010</w:t>
      </w:r>
    </w:p>
    <w:p>
      <w:r>
        <w:t>VD Tribunal cantonal, 2010-09-23, FR</w:t>
      </w:r>
    </w:p>
    <w:p>
      <w:r>
        <w:rPr>
          <w:b/>
        </w:rPr>
        <w:t xml:space="preserve">Quelle: </w:t>
      </w:r>
      <w:r>
        <w:t>https://mcp.opencaselaw.ch/entscheid/vd_gerichte_JL10.017517</w:t>
      </w:r>
    </w:p>
    <w:p>
      <w:r>
        <w:t>FR: VD_GERICHTE JL10.017517 du 23 septembre 2010</w:t>
      </w:r>
    </w:p>
    <w:p>
      <w:r>
        <w:t>IT: VD_GERICHTE JL10.017517 del 23 settembre 2010</w:t>
      </w:r>
    </w:p>
    <w:p>
      <w:pPr>
        <w:pStyle w:val="Heading2"/>
      </w:pPr>
      <w:r>
        <w:t>Erwägungen</w:t>
      </w:r>
    </w:p>
    <w:p>
      <w:r>
        <w:rPr>
          <w:b/>
        </w:rPr>
        <w:t>E. 2</w:t>
      </w:r>
    </w:p>
    <w:p>
      <w:r>
        <w:t>Annuler l'ordonnance d'expulsion du 6 juillet 2010 prononcée par le Juge de Paix</w:t>
      </w:r>
    </w:p>
    <w:p>
      <w:r>
        <w:rPr>
          <w:b/>
        </w:rPr>
        <w:t>E. 3</w:t>
      </w:r>
    </w:p>
    <w:p>
      <w:r>
        <w:t>Subsidiairement, déférer cette affaire à l'autorité de conciliation</w:t>
      </w:r>
    </w:p>
    <w:p>
      <w:r>
        <w:rPr>
          <w:b/>
        </w:rPr>
        <w:t>E. 4</w:t>
      </w:r>
    </w:p>
    <w:p>
      <w:r>
        <w:t>La recourante invoque plusieurs moyens à l'appui de son recours. a) La recourante allègue tout d'abord que le congé n'aurait pas été donné par lettre recommandée ou lettre signature, contrairement à ce que prévoit le chiffre 4 du contrat de bail.</w:t>
      </w:r>
    </w:p>
    <w:p>
      <w:r>
        <w:t>- 7 - Il apparaît toutefois que la recourante se méprend. En effet, la résiliation du 6 avril 2010 a bien été envoyée par pli recommandé avec accusé de réception, comme le confirme la pièce 6 du bordereau de la requérante. Ce pli n'a pas été retiré dans le délai de garde par sa destinataire, comme cela ressort de la même pièce. Par ailleurs, la pièce 5 produite par la recourante à l'appui de son recours, qui doit de toute manière être écartée dès lors qu'il s'agit d'une pièce nouvelle, pourrait indiquer que le courrier a été envoyé également sous pli simple. Quoi qu'il en soit, au vu de la pièce 6 susmentionnée, il s'avère que le congé a été donné conformément aux règles de forme. b) Ensuite, la recourante explique n'avoir pas reçu la mise en demeure à elle adressée le 15 février 2010 par pli recommandé au motif qu'elle est "souvent en voyages d'affaires et en vacances à l'étranger". Elle y voit une violation du principe de la réception. Outre les références mentionnées au c. 3 ci-dessus (ATF 119 II 147, JT 1994 I 205; Lachat, op. cit., n. 2.2.2, p. 667; SVIT-Kommentar, 3ème éd., n. 28 ad art. 257d CO), le Tribunal fédéral a plus largement rappelé que les courriers étaient censés remis le dernier jour du délai de garde postal, nonobstant les prolongations demandées à la poste, les absences ou les motifs pour lesquels l'intéressé ne retirait pas ses plis (cf. notamment ATF 134 V 49; 127 I 31; 123 III 492). En cas d'absence prolongée, il appartient à la partie de prendre des dispositions pour qu'un tiers s'occupe de son courrier. La fiction de notification ne vaut que si le destinataire devait s'attendre à un envoi (ATF 123 III 492). En l'espèce, il est possible que, comme la recourante l'a expliqué, elle ait été surprise par l'arrêt de l'ordre bancaire relatif au paiement du loyer. Mais elle n'a pas établi d'éléments propres à exclure le dépôt de l'avis postal dans sa boîte à lettres : revenant de voyage, elle devait réagir à cet avis, même si le délai de garde était écoulé.</w:t>
      </w:r>
    </w:p>
    <w:p>
      <w:r>
        <w:t>- 8 - En l'occurrence, le courrier comportant la mise en demeure a été valablement notifié à la recourante le 25 février 2010, dernier jour du délai de garde postal. Le moyen doit par conséquent être rejeté. c) La recourante voit une violation du principe de l'instruction contradictoire dans le fait qu'elle n'a pas reçu copie de la requête d'expulsion adressée par l'intimée au juge de paix compétent. Tel n'est cependant pas le cas. Les arrêts cités par la recourante (ATF 120 II 11, 352 et 412) ne sont pas relevants en la matière. L'art. 7 LPEBL n'impose pas une notification à la partie adverse. En outre, les parties sont de toute manière informées du but de l'audience par la citation à comparaître à l'audience du juge (art. 9 LPEBL). Par ailleurs, il est loisible à la partie intimée de consulter le dossier au greffe avant l'audience. En l'espèce, la citation du 3 juin 2010 mentionnait l'objet de l'audience et le moyen doit dès lors être rejeté. d) La recourante conteste la possibilité pour l'intimée de persister dans sa volonté de résilier le bail, nonobstant le fait que la locataire était totalement à jour dans ses paiements depuis le 8 avril 2010. Cette critique tombe à faux. Tout d'abord, le locataire est responsable du paiement du loyer, qui est une dette portable. Il est également responsable des actes de ses auxiliaires, notamment des actes de la banque (art. 101 CO; Lachat, op. cit., n. 2.2.3, p. 668). En l'espèce, la recourante ne nie pas avoir commis une erreur dans les ordres bancaires, ce qui a impliqué la mise en demeure. A partir du moment où elle n'a pas payé le montant dû dans le délai comminatoire au 25 mars 2010, celui-ci n'était pas respecté et le bailleur pouvait résilier le bail (Lachat, op. cit., n. 2.3.1, p. 669). Au surplus, il n'y a aucun élément permettant de retenir la conclusion d'un contrat de bail tacite. Enfin, le bailleur n'abuse pas de son droit s'il maintient la résiliation pour non-paiement quand bien même il a reçu le paiement tardif du loyer (TF, arrêt du 27 février 1997, in CdB 1997 p. 65).</w:t>
      </w:r>
    </w:p>
    <w:p>
      <w:r>
        <w:t>- 9 - Cela étant, le moyen doit être rejeté. e) Enfin, la recourante invoque le fait que, si elle a effectivement omis de saisir la commission de conciliation, elle n'a pas renoncé aux droits conférés par le chapitre 3 du Titre huitième du CO, soit les art. 271 ss CO. Elle se réfère à I'ATF 120 II 28. L'arrêt cité fait référence au défaut de la partie devant la commission de conciliation et à la possibilité reconnue pour celle-ci d'ouvrir tout de même action devant l'autorité judiciaire. L'art. 273 al. 1 CO est certes une disposition impérative. Encore faut-il toutefois que la partie, soit ici la recourante, ait saisi l'autorité de conciliation dans les trente jours, faute de quoi elle est irréparablement réputée avoir accepté le congé (SJ 2005 I 310; SJ 2005 I 249; Lachat, op. cit., n. 6.3, p. 757). Elle ne l'a pas fait en l'occurrence. Le moyen doit être rejeté, tout comme la conclusion subsidiaire tendant à ce que la cause soit transmise à l'autorité de conciliation.</w:t>
      </w:r>
    </w:p>
    <w:p>
      <w:r>
        <w:rPr>
          <w:b/>
        </w:rPr>
        <w:t>E. 5</w:t>
      </w:r>
    </w:p>
    <w:p>
      <w:r>
        <w:t>En définitive, le recours doit être rejeté et l'ordonnance confirmée. Les frais de deuxième instance de la recourante sont arrêtés à 200 francs (art. 230 al. 1 TFJC [tarif du 4 décembre 1984 des frais judiciaires en matière civile; RSV 270.11.5]). Obtenant gain de cause, l'intimée a droit à des dépens de deuxième instance (art. 91 et 92 CPC), qu'il convient de fixer à 200 fr. (art. 2 al. 1 let. A et art. 3 TAg [tarif du 22 février 1972 des honoraires d'agent d'affaires breveté dus à titre de dépens; RSV 179.11.3]).</w:t>
      </w:r>
    </w:p>
    <w:p>
      <w:r>
        <w:t>- 10 - Par ces motifs, la Chambre des recours du Tribunal cantonal, statuant à huis clos, prononce : I. Le recours est rejeté. II. L'ordonnance est confirmée. III. Les frais de deuxième instance de la recourante sont arrêtés à 200 francs (deux cents francs). IV. La recourante L.________ doit verser à l'intimée J.________ la somme de 200 fr. (deux cents francs) à titre de dépens de deuxième instance. V. L'arrêt motivé est exécutoire. Le président : Le greffier : Du 23 septembre 2010 Le dispositif de l'arrêt qui précède est communiqué par écrit aux intéressés. Le greffier :</w:t>
      </w:r>
    </w:p>
    <w:p>
      <w:r>
        <w:t>- 11 - Du L'arrêt qui précède, dont la rédaction a été approuvée à huis clos, est notifié à : - L.________, - Jean-Marc Schlaeppi (pour J.________).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