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JL09.012733 vom 2. Juli 2009</w:t>
      </w:r>
    </w:p>
    <w:p>
      <w:r>
        <w:t>VD Tribunal cantonal, 2009-07-02, FR</w:t>
      </w:r>
    </w:p>
    <w:p>
      <w:r>
        <w:rPr>
          <w:b/>
        </w:rPr>
        <w:t xml:space="preserve">Quelle: </w:t>
      </w:r>
      <w:r>
        <w:t>https://mcp.opencaselaw.ch/entscheid/vd_gerichte_JL09.012733</w:t>
      </w:r>
    </w:p>
    <w:p>
      <w:r>
        <w:t>FR: VD_GERICHTE JL09.012733 du 2 juillet 2009</w:t>
      </w:r>
    </w:p>
    <w:p>
      <w:r>
        <w:t>IT: VD_GERICHTE JL09.012733 del 2 luglio 2009</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Toutefois, l'art. 23 LPEBL, qui confère un pouvoir d'examen limité à la Chambre des recours, ne saurait s'appliquer lorsque la validité du congé a</w:t>
      </w:r>
    </w:p>
    <w:p>
      <w:r>
        <w:t>- 4 - été contestée en vertu de l'art. 274g al. 1 let. a CO (Code des obligations du 30 mars 1911, RS 220). En pareil cas, la Chambre des recours, pour répondre aux exigences du droit fédéral, doit disposer d'un libre pouvoir d'examen du droit fédéral (JT 2008 III 12 c. 2a; JT 2004 III 79). En l'espèce, les recourants ont contesté le congé litigieux devant la Commission de conciliation. Leur recours doit donc être examiné en droit par la Chambre des recours avec un plein pouvoir d'examen.</w:t>
      </w:r>
    </w:p>
    <w:p>
      <w:r>
        <w:rPr>
          <w:b/>
        </w:rPr>
        <w:t>E. 2</w:t>
      </w:r>
    </w:p>
    <w:p>
      <w:r>
        <w:t>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est conforme aux pièces du dossier; il a été complété sur la base de celui-ci. Il permet donc à la cour de céans de statuer en réforme.</w:t>
      </w:r>
    </w:p>
    <w:p>
      <w:r>
        <w:rPr>
          <w:b/>
        </w:rPr>
        <w:t>E. 3</w:t>
      </w:r>
    </w:p>
    <w:p>
      <w:r>
        <w:t>Ayant recouru uniquement en réforme, les recourants ne peuvent produire des pièces nouvelles (cf. Guignard in Procédures spéciales vaudoises, n. 1 ad art. 25 LPEBL et les réf. citées). Les pièces nouvelles qu'ils ont jointes à leur recours sont donc irrecevables.</w:t>
      </w:r>
    </w:p>
    <w:p>
      <w:r>
        <w:rPr>
          <w:b/>
        </w:rPr>
        <w:t>E. 4</w:t>
      </w:r>
    </w:p>
    <w:p>
      <w:r>
        <w:t>Les recourants soutiennent qu'ils étaient à jour dans le paiement de leurs loyers au 31 mai 2009.</w:t>
      </w:r>
    </w:p>
    <w:p>
      <w:r>
        <w:rPr>
          <w:b/>
        </w:rPr>
        <w:t>E. 4.1</w:t>
      </w:r>
    </w:p>
    <w:p>
      <w:r>
        <w:t>a) Selon l'art. 257d CO, lorsque, après la réception de la chose, le locataire a du retard pour s'acquitter d'un terme, le bailleur peut lui fixer par écrit un délai de paiement et lui signifier qu'à défaut de paiement dans ce délai, il résiliera le bail. Ce délai est de 30 jours au</w:t>
      </w:r>
    </w:p>
    <w:p>
      <w:r>
        <w:t>- 5 - moins pour les baux d'habitations (al. 1). Faute de paiement dans le délai fixé, le bailleur peut résilier les baux d'habitations, moyennant un délai de congé minimum de 30 jours pour la fin d'un mois (al. 2). b) En l'espèce, les avis comminatoires de l'art. 257d CO ont été adressés à chacun des locataires, sous plis recommandés du 14 août 2008, et mentionnaient qu'à défaut de régler l'arriéré de loyer du mois d'août 2008 dans un délai de 30 jours, le bail serait résilié. Ces plis ont été retournés à leur expéditeur avec la mention postale "non réclamé". Les recourants sont réputés avoir eu connaissance de la mise en demeure le dernier jour du délai de garde (ATF 119 II 47 c. 2, JT 1994 I 206). Le loyer arriéré n'a pas été réglé dans le délai de 30 jours imparti. Postérieurement à l'échéance de ce délai, le bailleur a par conséquent adressé séparément aux deux locataires, par avis officiels recommandés du 3 octobre 2008, la résiliation de leur bail, pour le 1er décembre 2008. Selon les avis "track and trace" figurant au dossier, les locataires n'ont pas retiré les plis recommandés. Le recours interjeté par les locataires indique que "M. B.S.________ affirme n'avoir pas eu formellement connaissance que le bail soit résilié (…)". Toutefois, dans la lettre signée par les deux recourants, adressée le 12 novembre 2008 à la commission de conciliation, il est mentionné : "J'accuse réception de la notification de la résiliation de bail à loyer de Livit S.A. (…)" et "reçu le courrier par lettre normal (sic) le 8.novembre 2008, daté au 6.nov.2008 de Livit SA (vu que j'étais absent et ne pouvais chercher le recommandé ce jour, en outre je travail (sic) tout (sic) la semaine à Genève), (…)". Le mois de novembre évoqué dans le courrier précité résulte vraisemblablement d'une erreur de plume des recourants; ils ont voulu parler du mois d'octobre, compte tenu du délai de 30 jours qu'il convient dans ce cas de respecter pour saisir la commission de conciliation. Il convient donc, au vu de ce qui précède, d'admettre que les conditions de l'art. 257d CO sont réalisées, que le congé est valable et que l'expulsion est fondée.</w:t>
      </w:r>
    </w:p>
    <w:p>
      <w:r>
        <w:rPr>
          <w:b/>
        </w:rPr>
        <w:t>E. 4.2</w:t>
      </w:r>
    </w:p>
    <w:p>
      <w:r>
        <w:t>Pour justifier leur maintien dans les lieux, les recourants invoquent encore d'autres moyens (difficultés à trouver un logement,</w:t>
      </w:r>
    </w:p>
    <w:p>
      <w:r>
        <w:t>- 6 - enfant en âge de scolarité). Ces moyens sont toutefois sans pertinence, dans le cadre d'une procédure d'expulsion fondée sur la LPEBL.</w:t>
      </w:r>
    </w:p>
    <w:p>
      <w:r>
        <w:rPr>
          <w:b/>
        </w:rPr>
        <w:t>E. 4.3</w:t>
      </w:r>
    </w:p>
    <w:p>
      <w:r>
        <w:t>Enfin, la date d'expulsion qui a été fixée aux recourants (2 juin 2009), compte tenu de la date de l'ordonnance attaquée, du 5 mai 2009, est d'une durée usuelle. Il n'y a pas lieu de la reporter à une date ultérieure.</w:t>
      </w:r>
    </w:p>
    <w:p>
      <w:r>
        <w:rPr>
          <w:b/>
        </w:rPr>
        <w:t>E. 5</w:t>
      </w:r>
    </w:p>
    <w:p>
      <w:r>
        <w:t>Il s'ensuit que le recours doit être rejeté et l'ordonnance confirmée. Les frais de deuxième instance des recourants sont arrêtés à 200 francs, solidairement entre eux. Succombant à l'action, les recourants doivent payer à l'intimée, solidairement entre eux, 250 fr. à titre de dépens de deuxième instance. Par ces motifs, la Chambre des recours du Tribunal cantonal, statuant à huis clos, prononce : I. Le recours est rejeté. II. L'ordonnance est confirmée. III. Les frais de deuxième instance des recourants sont arrêtés à 200 fr. (deux cents francs). IV. Les recourants A.S.________ et B.S.________ doivent payer, solidairement entre eux, à l'intimée R.________ la somme de</w:t>
      </w:r>
    </w:p>
    <w:p>
      <w:r>
        <w:t>- 7 - 250 fr. (deux cent cinquante francs) à titre de dépens de deuxième instance. V. L'arrêt motivé est exécutoire. Le président : La greffière : Du 2 juillet 2009 Le dispositif de l'arrêt qui précède est communiqué par écrit aux intéressés. La greffière : Du L'arrêt qui précède, dont la rédaction a été approuvée à huis clos, est notifié à : - Mme A.S.________ et M. B.S.________, - M. Thierry Zumbach, agent d'affaires breveté (pour R.________).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w:t>
      </w:r>
    </w:p>
    <w:p>
      <w:r>
        <w:t>- 8 -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