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JL09.008759 vom 4. September 2009</w:t>
      </w:r>
    </w:p>
    <w:p>
      <w:r>
        <w:t>VD Tribunal cantonal, 2009-09-04, FR</w:t>
      </w:r>
    </w:p>
    <w:p>
      <w:r>
        <w:rPr>
          <w:b/>
        </w:rPr>
        <w:t xml:space="preserve">Quelle: </w:t>
      </w:r>
      <w:r>
        <w:t>https://mcp.opencaselaw.ch/entscheid/vd_gerichte_JL09.008759</w:t>
      </w:r>
    </w:p>
    <w:p>
      <w:r>
        <w:t>FR: VD_GERICHTE JL09.008759 du 4 septembre 2009</w:t>
      </w:r>
    </w:p>
    <w:p>
      <w:r>
        <w:t>IT: VD_GERICHTE JL09.008759 del 4 settembre 2009</w:t>
      </w:r>
    </w:p>
    <w:p>
      <w:pPr>
        <w:pStyle w:val="Heading2"/>
      </w:pPr>
      <w:r>
        <w:t>Erwägungen</w:t>
      </w:r>
    </w:p>
    <w:p>
      <w:r>
        <w:rPr>
          <w:b/>
        </w:rPr>
        <w:t>E. 1</w:t>
      </w:r>
    </w:p>
    <w:p>
      <w:r>
        <w:t>L'art. 23 LPEBL (loi du 18 mai 1955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(al. 1). Les recourants invoquent, à l'appui de leur conclusion en nullité, l'abus du pouvoir d'appréciation en ce sens que le premier juge aurait retenu des faits en contradiction avec les pièces du dossier. Vu le pouvoir d'examen conféré à la cour de céans par l'art. 457 CPC, applicable par renvoi de l'art. 29 LPEBL dans le cadre du recours pour déni de justice et du recours en réforme, une éventuelle informalité sur ce point est</w:t>
      </w:r>
    </w:p>
    <w:p>
      <w:r>
        <w:t>- 5 - susceptible d'être corrigée dans le cadre de ces recours, de sorte que ce moyen est irrecevable en nullité (Poudret/Haldy/Tappy, Procédure civile vaudoise, 3ème éd., 2002, n. 14 ad art. 444 CPC, p. 655-656).</w:t>
      </w:r>
    </w:p>
    <w:p>
      <w:r>
        <w:rPr>
          <w:b/>
        </w:rPr>
        <w:t>E. 2</w:t>
      </w:r>
    </w:p>
    <w:p>
      <w:r>
        <w:t>L'art. 23 al. 2 LPEBL ouvre le recours au Tribunal cantonal pour déni de justice; celui-ci peut aboutir soit à la réforme soit à l'annulation de la décision attaquée (JT 1993 III 88, c. 2; JT 1977 III 96). Toutefois, en vertu de l'art. 274g al. 1 let. a CO (Code des obligations du 30 mars 1911; RS 220), le juge saisi de la procédure d'expulsion doit statuer sur la validité du congé, lorsque celle-ci est contestée, en examinant la cause de manière complète en fait et en droit. L'autorité de recours cantonale doit alors au moins disposer d'un plein pouvoir d'examen en ce qui concerne la violation du droit fédéral (ATF 119 II 141, c. 4a; ATF 119 II 241, c. 4b et c). Autrement dit, l'art. 23 LPEBL, qui confère un pouvoir d'examen limité à la Chambre des recours, ne saurait s'appliquer lorsque la validité du congé a été contestée. En pareil cas, la Chambre des recours doit disposer d'un libre pouvoir d'examen du droit tel que le prévoit l'art. 457 al. 2 CPC pour le recours en réforme contre les décisions du juge de paix (JT 2008 III 12; JT 2004 III 79). En l'espèce, l'intimée a contesté le congé devant la commission de conciliation compétente. Le recours doit donc être examiné avec le pouvoir d'examen conféré par l'art. 457 CPC et non celui limité au déni de justice prévu à l'art. 23 LPEBL.</w:t>
      </w:r>
    </w:p>
    <w:p>
      <w:r>
        <w:rPr>
          <w:b/>
        </w:rPr>
        <w:t>E. 3</w:t>
      </w:r>
    </w:p>
    <w:p>
      <w:r>
        <w:t>ad art. 23 LPEBL, p. 212 et référence). Toutefois, elle l'est lorsque le recours doit être examiné avec le pouvoir d'examen du recours en réforme (Guignard, in Procédures spéciales vaudoises, 2008, n. 4 ad art. 23 LPEBL, p. 212 et référence).</w:t>
      </w:r>
    </w:p>
    <w:p>
      <w:r>
        <w:t>- 6 - En l'espèce, dès lors que la cour de céans doit examiner le recours avec un pouvoir d'examen étendu au recours en réforme, la conclusion de l'intimée tendant à ce qu'il soit constaté que les congés litigieux sont nuls est recevable en deuxième instance, ce d'autant qu'elle concerne un point sur lequel le premier juge devait statuer. On ne saurait en outre la qualifier de nouvelle, dès lors que les congés ont été contestés devant la commission de conciliation et que celle-ci a transmis la cause au premier juge afin qu'il tranche cette question.</w:t>
      </w:r>
    </w:p>
    <w:p>
      <w:r>
        <w:rPr>
          <w:b/>
        </w:rPr>
        <w:t>E. 4</w:t>
      </w:r>
    </w:p>
    <w:p>
      <w:r>
        <w:t>Les recourants font valoir que l'entier de l'arriéré de loyer réclamé dans la commination du 3 décembre 2008 n'a pas été réglé dans le délai comminatoire échéant le 10 janvier 2009 et que, dès lors, l'expulsion devait être prononcée, aucun abus de droit ne pouvant être retenu à leur charge.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w:t>
      </w:r>
    </w:p>
    <w:p>
      <w:r>
        <w:t>- 7 - Faute de paiement dans le délai fixé, le bailleur peut résilier le contrat avec effet immédiat; les baux d'habitation ou de locaux commerciaux peuvent être résiliés moyennant un délai de congé minimum de trente jours (art. 257d al. 2 CO). La jurisprudence a précisé que, lorsque le locataire n'avait pas réglé l'arriéré réclamé dans le délai comminatoire prévu à l'art. 257d al. 1 CO, il était en demeure et devait subir les conséquences juridiques de l'al. 2 de cette disposition, savoir la résiliation du bail moyennant un délai de congé de trente jours (ATF 127 III 548 c. 4). En l'espèce, les recourants réclamaient, dans leurs avis du 3 décembre 2008, un arriéré de 750 francs. Avec le premier juge, il y a lieu de considérer que les parties étaient convenues tacitement que les loyers litigieux étaient payables au milieu du mois en cours, de sorte que ceux du mois de décembre n'étaient pas échus à cette date. Demeuraient donc impayés à cette date - compte tenu de l'imputation du versement du mois de septembre 2008 au paiement des loyers du mois d'août et de celui du mois de novembre au paiement d'un arriéré pour le garage - le loyer du local commercial pour les mois d'octobre et novembre 2008, par 400 francs. A défaut de pièces attestant la réception des avis du 3 décembre 2008, il y a lieu d'admettre qu'ils ont été communiqués à la recourante par voie de jonction à l'échéance du délai de garde postal de sept jours (cf. Lachat, Le bail à loyer, 2ème éd., 2008 p. 667 et références), soit le 11 décembre 2008. Le délai de trente jours arrivait donc à échéance le samedi 10 janvier 2009, et était donc reporté au lundi 12 janvier 2009 (art. 78 CO; art. 1 de la loi fédérale sur la supputation des délais comprenant un samedi du 21 juin 1963; RS 173.110.3). La recourante par voie de jonction a effectué un versement de 350 fr. le 12 décembre 2008 et un nouveau versement de 350 fr. le 12 janvier 2008, soit le jour de l'échéance du délai comminatoire. Il y a lieu de considérer que l'arriéré dû au 3 décembre 2008, par 400 francs, a été réglé en temps utile, dès lors qu'un bulletin de versement avait été annexé à la</w:t>
      </w:r>
    </w:p>
    <w:p>
      <w:r>
        <w:t>- 8 - commination (ATF 124 III 145, JT 2000 I 220). Les conditions de l'art. 257d CO n'étaient donc pas réalisées et le congé donné le 22 janvier 2009 pour le local commercial est nul (ATF 124 III 201, JT 1999 I 367). Il en est de même pour le congé relatif au garage, dès lors qu'il n'existait aucun arriéré à la date de la commination.</w:t>
      </w:r>
    </w:p>
    <w:p>
      <w:r>
        <w:rPr>
          <w:b/>
        </w:rPr>
        <w:t>E. 5</w:t>
      </w:r>
    </w:p>
    <w:p>
      <w:r>
        <w:t>Au vu des considérations qui précèdent, le recours joint doit être admis en ce sens qu'il est constaté que le congé donné pour le local commercial et le garage le 22 janvier 2009 est nul.</w:t>
      </w:r>
    </w:p>
    <w:p>
      <w:r>
        <w:rPr>
          <w:b/>
        </w:rPr>
        <w:t>E. 6</w:t>
      </w:r>
    </w:p>
    <w:p>
      <w:r>
        <w:t>En conclusion, le recours doit être rejeté, le recours joint admis et l'ordonnance réformée en ce sens que le congé donné le 22 janvier 2009 à la locataire est nul. Les frais de deuxième instance des recourants sont arrêtés à 150 fr. (art. 230 du tarif du 4 décembre 1984 des frais judicaires en matière civile; RSV 270.11.5). Il n'y a pas lieu d'allouer de dépens de deuxième instance, la recourante par voie de jonction ayant agi sans l'assistance d'un avocat ou d'un agent d'affaires breveté (art. 91 et 92 CPC; Poudret/Haldy/Tappy, op. cit., n. 1 ad art. 91 CPC, p. 169; Byrde/Giroud Walther/Hack, in Procédures spéciales vaudoises, 2008, n. 5 ad art. 14 LTB, p. 149 et références). Par ces motifs, la Chambre des recours du Tribunal cantonal, statuant à huis clos, prononce : I. Le recours est rejeté et le recours joint est admis.</w:t>
      </w:r>
    </w:p>
    <w:p>
      <w:r>
        <w:t>- 9 - II. L'ordonnance est confirmée et complétée en son dispositif par le chiffre I bis suivant : I bis.- Le congé donné à D.________ le 22 janvier 2009 par A. et B.L.________ est nul. III. Les frais de deuxième instance des recourants A. et B.L.________ sont arrêtés à 150 fr. (cent cinquante francs), solidairement entre eux. IV. Il n'est pas alloué de dépens de deuxième instance. V. L'arrêt motivé est exécutoire. Le président : Le greffier : Du 4 septembre 2009 Le dispositif de l'arrêt qui précède est communiqué par écrit aux intéressés. Le greffier :</w:t>
      </w:r>
    </w:p>
    <w:p>
      <w:r>
        <w:t>- 10 - Du L'arrêt qui précède, dont la rédaction a été approuvée à huis clos, est notifié à : - M. Jacques Lauber (pour A. et B.L.________), - Mme D.________. La Chambre des recours considère que la valeur litigieuse est de 18'050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