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JJ22.018992 vom 18. November 2022</w:t>
      </w:r>
    </w:p>
    <w:p>
      <w:r>
        <w:t>VD Tribunal cantonal, 2022-11-18, FR</w:t>
      </w:r>
    </w:p>
    <w:p>
      <w:r>
        <w:rPr>
          <w:b/>
        </w:rPr>
        <w:t xml:space="preserve">Quelle: </w:t>
      </w:r>
      <w:r>
        <w:t>https://mcp.opencaselaw.ch/entscheid/vd_gerichte_JJ22.018992</w:t>
      </w:r>
    </w:p>
    <w:p>
      <w:r>
        <w:t>FR: VD_GERICHTE JJ22.018992 du 18 novembre 2022</w:t>
      </w:r>
    </w:p>
    <w:p>
      <w:r>
        <w:t>IT: VD_GERICHTE JJ22.018992 del 18 novembre 2022</w:t>
      </w:r>
    </w:p>
    <w:p>
      <w:pPr>
        <w:pStyle w:val="Heading2"/>
      </w:pPr>
      <w:r>
        <w:t>Erwägungen</w:t>
      </w:r>
    </w:p>
    <w:p>
      <w:r>
        <w:rPr>
          <w:b/>
        </w:rPr>
        <w:t>E. 3.1</w:t>
      </w:r>
    </w:p>
    <w:p>
      <w:r>
        <w:t>Dans un premier moyen, la recourante invoque une constatation manifestement inexacte des faits par le juge en ignorant la valeur litigieuse de 5'000 fr. ressortant de la clause 5.5.3 de la convention</w:t>
      </w:r>
    </w:p>
    <w:p>
      <w:r>
        <w:t>- 6 - d’actionnaires du 18 décembre 2019 et de l’exercice par elle du droit d’emption des actions à leur valeur nominale. Dans un second moyen de droit, la recourante invoque la jurisprudence et la doctrine en matière d’estimation de la valeur litigieuse d’un bien acquis par exercice d’un droit d’emption. De son côté, l’intimée conteste toute constatation manifestement inexacte des faits en relevant que le juge s’est fondé sur une expertise de la valeur des actions. De plus, elle affirme que la convention d’actionnaires du 18 décembre 2019 ne la lie plus et ne lui est plus opposable dès lors que cette convention concerne la société [...] dont elle n’est plus actionnaire.</w:t>
      </w:r>
    </w:p>
    <w:p>
      <w:r>
        <w:rPr>
          <w:b/>
        </w:rPr>
        <w:t>E. 3.2.1</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(ATF 147 III 159 consid. 2).</w:t>
      </w:r>
    </w:p>
    <w:p>
      <w:r>
        <w:rPr>
          <w:b/>
        </w:rPr>
        <w:t>E. 3.2.1.1</w:t>
      </w:r>
    </w:p>
    <w:p>
      <w:r>
        <w:t>3.2.1.1.1 Les faits sont simples (einfachrelevante Tatsachen)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(ATF 141 III 294 consid. 5.1 ; TF 4A_573/2015 du 3 mai 2016 consid. 5.1.1 ; TF 4C.329/2005 du 5 mai 2006 consid. 2.2, non publié in ATF 132 III 579). De tels faits doivent être prouvés au stade de l'examen de la compétence, lorsque la partie défenderesse soulève l'exception de</w:t>
      </w:r>
    </w:p>
    <w:p>
      <w:r>
        <w:t>- 7 - déclinatoire en contestant les allégués du demandeur (ATF 147 III 159 consid. 2.1.1 ; ATF 141 III 294 consid. 5.1 et les réf. citées). 3.2.1.1.2 Les faits sont doublement pertinents ou de double pertinence (doppelrelevante Tatsachen)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(ATF 141 III 294 consid. 5.2 et les arrêts cités).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sans tenir compte des objections de la partie défenderesse (ATF 141 III 294 consid. 5.2 et les arrêts cités), et sans procéder à aucune administration de preuves (ATF 141 III 294 consid. 6.1). Il faut et il suffit que le demandeur allègue correctement les faits doublement pertinents, c’est-à-dire de telle façon que leur contenu permette au tribunal d’apprécier sa compétence (ATF 147 III 159 consid. 2.1.2 ; ATF 141 III 294 consid. 6.1). Si les faits doublement pertinents ne doivent pas être prouvés, cela ne dispense toutefois pas le juge d’examiner s’ils sont concluants (schlüssig), c’est-à-dire s’ils permettent juridiquement d’en déduire le for invoqué par le demandeur ; il s’agit là d’une question de droit (ATF 141 III 294 consid. 5.2 et 6.1). 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w:t>
      </w:r>
    </w:p>
    <w:p>
      <w:r>
        <w:t>- 8 - modification de sa décision sur la compétence qui est définitive. Le Tribunal fédéral a considéré que la théorie de la double pertinence est justifiée dans son résultat (ATF 141 III 294 consid. 5.2). En effet, si après l'administration des preuves,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consid. 2.1.2).</w:t>
      </w:r>
    </w:p>
    <w:p>
      <w:r>
        <w:rPr>
          <w:b/>
        </w:rPr>
        <w:t>E. 3.2.1.2</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147 III 159 consid. 2.2 ; ATF 141 III 294 consid. 5.3 ; ATF 137 III 32 consid. 2.3 ; ATF 136 III 486 consid. 4 et les réf. citées ; TF A_510/2019, précité, consid. 2 ; TF 4A_28/2014, précité, consid. 4.2.2 ; TF 4A_31/2011 du 11 mars 2011 consid. 2 ; TF 4A_630/2011 du 7 mars 2012 consid. 2.2). 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Etat (ATF 147 III 159 consid. 2.2 ; ATF 141 III 294 consid. 5.3 ; ATF 131 III 153 consid. 5.1 ; ATF 124 III 382 consid. 3b ; TF 4A_28/2014 précité consid. 4.2.2 ; Colombini, Code de procédure civile, Condensé de la jurisprudence fédérale et cantonale, 2018, n. 3.2 et suivants ad art. 59 CPC).</w:t>
      </w:r>
    </w:p>
    <w:p>
      <w:r>
        <w:t>- 9 -</w:t>
      </w:r>
    </w:p>
    <w:p>
      <w:r>
        <w:rPr>
          <w:b/>
        </w:rPr>
        <w:t>E. 3.2.2</w:t>
      </w:r>
    </w:p>
    <w:p>
      <w:r>
        <w:t>En vertu de l’art. 60 CPC, le tribunal examine d’office si les conditions de recevabilité – dont fait partie la compétence à raison de la matière (art. 59 al. 2 let. b CPC) qui inclut les règles cantonales de la compétence selon la valeur litigieuse (François Bohnet in Commentaire romand CPC, 2e éd. Bâle 2019, n. 29 ad art. 59 CPC) – sont remplies. En présence de faits de double pertinence, la compétence matérielle du juge est donc soumise à la jurisprudence présentée ci-dessus (TF 4A_31/2011 ; RSPC 2011 273 ; Bohnet, CPC Commenté, 2022, n. 17 ad art. 60 CPC).</w:t>
      </w:r>
    </w:p>
    <w:p>
      <w:r>
        <w:rPr>
          <w:b/>
        </w:rPr>
        <w:t>E. 3.3</w:t>
      </w:r>
    </w:p>
    <w:p>
      <w:r>
        <w:t>En l’espèce, la recourante a déposé une demande à l’encontre de l’intimée afin d’exercer son droit d’emption sur les actions détenues par celle-ci. Par conséquent, la question de savoir si la valeur des actions litigieuses correspond à la valeur vénale ou à la valeur nominale, telle qu’invoquée par la recourante, constitue un fait de double pertinence en matière de recevabilité ratione valoris et au fond. Il ressort de la jurisprudence précitée que de tels faits n’ont pas à être prouvés, mais sont censés être établis sur la seule base des écritures du demandeur. A cet égard, la recourante a allégué que la valeur de ces actions correspondait à sa valeur nominale, soit de 5'000 fr., en se référant à la clause 5.5.3 de la convention d’actionnaires du 18 décembre 2019. Il s’agit-là d’un fait concluant, dès lors que la thèse invoquée par la recourante dans sa demande ne présente en elle-même rien d'impossible (cf. supra Let. C ch. 1). Par ailleurs, la demande n’apparaît pas d’emblée incohérente ou manifestement fausse. On ne se trouve donc pas non plus en présence d'un cas d'abus de droit qui permettrait de faire exception à la théorie de la double pertinence. Il en découle que, sur la base des allégations de la recourante, la juge de paix devait entrer en matière et non pas déclarer la demande irrecevable.</w:t>
      </w:r>
    </w:p>
    <w:p>
      <w:r>
        <w:rPr>
          <w:b/>
        </w:rPr>
        <w:t>E. 4.1</w:t>
      </w:r>
    </w:p>
    <w:p>
      <w:r>
        <w:t>En définitive, le recours doit être admis et la décision réformée en ce sens que la juge de paix doit entrer en matière sur la demande déposée par la recourante.</w:t>
      </w:r>
    </w:p>
    <w:p>
      <w:r>
        <w:t>- 10 -</w:t>
      </w:r>
    </w:p>
    <w:p>
      <w:r>
        <w:rPr>
          <w:b/>
        </w:rPr>
        <w:t>E. 4.2</w:t>
      </w:r>
    </w:p>
    <w:p>
      <w:r>
        <w:t>Vu l'issue du recours, les frais judiciaires de deuxième instance, arrêtés à 200 fr. (art. 69 al. 1 TFJC [tarif des frais judiciaires civils du 28 septembre 2010 ; BLV 270.11.5]), seront mis à la charge de l’intimée, qui succombe (art. 106 al. 1 CPC). En outre, l’intimée doit verser des dépens à la recourante à hauteur de 500 fr. (art. 8 al. 1 TDC [tarif des dépens en matière civile du 23 novembre 2010 ; BLV 270.11.6]). L’intimée versera ainsi à la recourante la somme de 700 fr. à titre de remboursement d’avance de frais et de dépens.</w:t>
      </w:r>
    </w:p>
    <w:p>
      <w:r>
        <w:t>- 11 - Par ces motifs, la Chambre des recours civile du Tribunal cantonal, prononce : I. Le recours est admis. II. La décision est annulée et la cause est renvoyée à la Juge de paix du district de Lausanne pour qu’elle entre en matière sur la demande déposée par T.________. III. Les frais de deuxième instance, par 200 fr. (deux cents francs), sont mis à la charge de l’intimée E.________. IV. L’intimée E.________ doit verser 700 fr. (sept cents francs) à la recourante T.________ à titre de remboursement d’avance de frais et de dépens. V. L’arrêt est exécutoire. Le président : La greffière : Du L'arrêt qui précède, dont la rédaction a été approuvée à huis clos, est notifié à : - Me Alexandre Gachet et Me Cendrine Rouvinez (pour T.________), - Me Michel Bussard (pour E.________).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