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JJ17.032871 vom 14. Februar 2019</w:t>
      </w:r>
    </w:p>
    <w:p>
      <w:r>
        <w:t>VD Tribunal cantonal, 2019-02-14, FR</w:t>
      </w:r>
    </w:p>
    <w:p>
      <w:r>
        <w:rPr>
          <w:b/>
        </w:rPr>
        <w:t xml:space="preserve">Quelle: </w:t>
      </w:r>
      <w:r>
        <w:t>https://mcp.opencaselaw.ch/entscheid/vd_gerichte_JJ17.032871</w:t>
      </w:r>
    </w:p>
    <w:p>
      <w:r>
        <w:t>FR: VD_GERICHTE JJ17.032871 du 14 février 2019</w:t>
      </w:r>
    </w:p>
    <w:p>
      <w:r>
        <w:t>IT: VD_GERICHTE JJ17.032871 del 14 febbraio 2019</w:t>
      </w:r>
    </w:p>
    <w:p>
      <w:pPr>
        <w:pStyle w:val="Heading2"/>
      </w:pPr>
      <w:r>
        <w:t>Erwägungen</w:t>
      </w:r>
    </w:p>
    <w:p>
      <w:r>
        <w:rPr>
          <w:b/>
        </w:rPr>
        <w:t>E. 5</w:t>
      </w:r>
    </w:p>
    <w:p>
      <w:r>
        <w:t>décembre 2017 consid. 2.2 et les réf. citées). 3. 3.1 Reprenant l’argument central de sa défense, la recourante soutient qu’elle ferait du nettoyage à sec et qu’elle n’aurait qu’une petite activité de blanchisserie. Le nettoyage à sec (pressing) ne serait pas assimilable selon elle à une activité industrielle car il se pratiquerait à la pièce et non en grand volume. Dès lors que l’ancienne CCT parlait de nettoyage industriel (le terme « industriel » a été supprimé par la suite) – que la recourante oppose au nettoyage artisanal – elle ne saurait y être assujettie. Il importerait peu, à ce titre, qu’elle emploie au moins cinq employés car l’art. 2.1 de la CCT énoncerait, selon elle, des conditions cumulatives, à savoir exercer son activité dans les cantons visés par la CCT (a), offrir des prestations dans le domaine de l’entretien et du nettoyage industriel de textile (b) et occuper au moins cinq personnes (c). La recourante fait valoir que la deuxième condition ne serait pas remplie et que, dès lors, l’amende qui lui a été infligée en application de l’art. 22 CCT n’aurait pas de fondement.</w:t>
      </w:r>
    </w:p>
    <w:p>
      <w:r>
        <w:t>- 9 - 3.2 3.2.1 L’art. 1 al. 1 LECCT (loi fédérale du 28 septembre 1956 permettant d’étendre le champ d’application de la convention collective de travail ; RS 221.215.311) prévoit qu’à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qui ne sont pas liés par cette convention. Les dispositions d’une convention collective étendue en vertu de la LECCT acquièrent dans la branche concernée un effet normatif direct et il ne peut y être dérogé en défaveur du travailleur (CREC I 23 juin 2010/339 et les références citées). La décision d’extension permet donc l’application d’une convention aux employeurs et aux travailleurs qui appartiennent à la branche économique ou à la profession visée et ne sont pas liés par cette convention (art. 1 al. 1 LECCT). Pour savoir si une entreprise appartient à la branche économique ou à la profession visées et entre, de ce fait, dans le champ d’application de la CCT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131 I 268 consid. 6.3.2 ; TF 4C.191/2006 du 17 août 2006 consid.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 il doit exister un rapport de concurrence directe entre ces entreprises (TF 4A_491/2008 du 4 février 2009 consid. 2.1 ; ATF 134 I 269 précité consid. 6.3.2).</w:t>
      </w:r>
    </w:p>
    <w:p>
      <w:r>
        <w:t>- 10 - Enfin, rien ne justifie d’interpréter extensivement une convention étendue, dès lors que la décision d’extension constitue déjà en soi une atteinte à la liberté du commerce et de l’industrie ainsi qu’à la liberté contractuelle (TF 4C.191/2006 précité consid. 2.2 et les arrêts cités). Les dispositions concernant l’extension d’une convention ont un caractère normatif et sont en conséquence soumises aux règles régissant l’interprétation des textes de lois (ATF 127 III 318 consid. 2a ; TF 4P.49/2006 du 24 avril 2006 consid. 3.3). Ainsi, ces dispositions doivent être interprétées en premier lieu selon leur lettre. Lorsque leur sens littéral est clair et univoque, l’autorité qui doit les appliquer est en principe liée (TF 4A_491/2008 précité consid. 2.1 ; ATF 132 III 18 consid. 4.1 ; ATF 131 III 606 consid. 4.2). 3.2.2 Aux termes de l’art. 2 de l’arrêté du 22 octobre 2013 du Conseil fédéral, l’extension de la CCT du 29 avril 2011 s’applique aux cantons de Fribourg, Genève, Jura, Neuchâtel, Valais et Vaud (al. 1), aux entreprises qui offrent principalement des prestations dans le domaine de l’entretien et du nettoyage industriel de textiles et qui occupent au moins cinq travailleurs (al. 2) et à tous les travailleurs et apprentis occupés dans les entreprises mentionnées à l’al. 2, indépendamment de leur mode de rémunération, à l’exception des membres de la direction. Selon l’art. 22 CCT, la demanderesse peut en tout temps effectuer un contrôle d’application de la convention collective à la demande d’une des parties signataires. L’employeur est tenu de fournir tous les documents et les informations utiles à la demanderesse (al. 3).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(al. 4). 3.3 En l’espèce, la recourante oppose le mot « industriel » à « artisanal ». En soi, ce n’est pas faux. Mais cela ne correspond pas à</w:t>
      </w:r>
    </w:p>
    <w:p>
      <w:r>
        <w:t>- 11 - l’activité de la recourante qui se décrit elle-même comme une entreprise « qui travaille [...] ». Il n’y a rien d’artisanal dans cette activité. Le caractère industriel est encore renforcé par le fait que la recourante emploie plus de cinq employés, qu’elle possède trois pressings à [...] et qu’elle dispose de machines qui ne sont pas utilisées par des privés, ainsi que l’attestent les témoins T.________ et Z.________. On est ainsi très loin de l’activité d’une personne qui travaille pour son propre compte, en utilisant des techniques traditionnelles, et qui est souvent aidée par sa famille ou des apprentis. Avec le premier juge, il faut aussi considérer que la distinction entre blanchisserie et nettoyage à sec n’est pas pertinente. Si tel devait être le cas, on ne comprend pas pourquoi une entreprise composée de cinq personnes pourrait être assujettie à la CCT. Il s’ensuit que le volume et la quantité de textiles traités n’est pas un critère décisif. Comme le relève le premier juge, c’est bien l’activité économique qui est déterminante. Or en l’espèce, il est évident que V.________ – qui se définit elle-même comme une entreprise – se livre à une activité industrielle et pas artisanale. Les autres conditions prévues part l’art. 2.1 CCT étant également remplies – ce qui n’est pas remis en cause –, c’est à juste titre que le juge de paix a considéré que V.________ était assujettie à la CCT. Par ailleurs, la recourante ne conteste pas la quotité de l’amende qui lui a été infligée. Au vu des nombreuses violations de la CCT par la recourante et de la persistance de cette dernière à ne pas y remédier, le montant de l’amende se justifie, de sorte qu’il doit être confirmé. 4. 4.1 En définitive, le recours doit être rejeté, selon le mode procédural de l’art. 322 al. 1 CPC, et le jugement entrepris confirmé.</w:t>
      </w:r>
    </w:p>
    <w:p>
      <w:r>
        <w:t>- 12 - 4.2 Vu l’issue du litige, les frais judiciaires de deuxième instance, arrêtés à 400 fr. (art. 69 al. 1 TFJC [tarif des frais judiciaires civils du 28 septembre 2010 ; RSV 270.11.5]), seront mis à la charge de la recourante, qui succombe (art. 106 al. 1 CPC). 4.3 Il n'y a pas lieu à l'allocation de dépens,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400 fr. (quatre cents francs), sont mis à la charge de la recourante V.________. IV. L’arrêt est exécutoire. Le président : Le greffier :</w:t>
      </w:r>
    </w:p>
    <w:p>
      <w:r>
        <w:t>- 13 - Du L'arrêt qui précède, dont la rédaction a été approuvée à huis clos, est notifié à : - V.________, - Me Eric Cerottini (pour la Commission professionnelle paritaire romande du nettoyage industriel des textiles),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