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JJ16.057344 vom 12. September 2018</w:t>
      </w:r>
    </w:p>
    <w:p>
      <w:r>
        <w:t>VD Tribunal cantonal, 2018-09-12, FR</w:t>
      </w:r>
    </w:p>
    <w:p>
      <w:r>
        <w:rPr>
          <w:b/>
        </w:rPr>
        <w:t xml:space="preserve">Quelle: </w:t>
      </w:r>
      <w:r>
        <w:t>https://mcp.opencaselaw.ch/entscheid/vd_gerichte_JJ16.057344</w:t>
      </w:r>
    </w:p>
    <w:p>
      <w:r>
        <w:t>FR: VD_GERICHTE JJ16.057344 du 12 septembre 2018</w:t>
      </w:r>
    </w:p>
    <w:p>
      <w:r>
        <w:t>IT: VD_GERICHTE JJ16.057344 del 12 settembre 2018</w:t>
      </w:r>
    </w:p>
    <w:p>
      <w:pPr>
        <w:pStyle w:val="Heading2"/>
      </w:pPr>
      <w:r>
        <w:t>Erwägungen</w:t>
      </w:r>
    </w:p>
    <w:p>
      <w:r>
        <w:rPr>
          <w:b/>
        </w:rPr>
        <w:t>E. 4</w:t>
      </w:r>
    </w:p>
    <w:p>
      <w:r>
        <w:t>- 12 -</w:t>
      </w:r>
    </w:p>
    <w:p>
      <w:r>
        <w:rPr>
          <w:b/>
        </w:rPr>
        <w:t>E. 4.1</w:t>
      </w:r>
    </w:p>
    <w:p>
      <w:r>
        <w:t>Le recourant conteste la réalisation des conditions de la responsabilité délictuelle en l'espèce. Il en veut d'abord pour preuve que le « contrat de vente pour voitures d'occasion », non signé par les parties, a été produit par l'intimé lui-même à l'appui de sa demande (cf. pièce 3), ce qui démontrerait que l'intimé en avait connaissance ainsi que de la mention « accidenté » qui y figure. Le recourant s'en prend également à la décision rendue en tant qu'elle s'appuierait exclusivement sur l'expertise privée produite par l'intimé, que le recourant déclare contester expressément, estimant que ses conclusions ne présenteraient pas toutes les garanties d'impartialité, puisqu'elle a été établie à la requête de l'intimé sans que le recourant puisse faire valoir son droit d'être entendu. Le recourant en déduit que le premier juge ne pouvait pas considérer que les défauts allégués étaient établis et que les réparations n'avaient pas été effectuées selon les règles de l'art. Le recourant relève en outre que l'expert n'a pas été à même de déterminer la date des dégâts au véhicule accidenté, l'expertise ayant eu lieu une année après la vente du véhicule. Enfin, le recourant considère que l'intimé ne peut pas se prévaloir d'un dommage subi, les qualités promises lors de la vente du véhicule ayant été respectées et les dégâts subis puis la réparation du véhicule ayant contribué à la diminution du prix de vente.</w:t>
      </w:r>
    </w:p>
    <w:p>
      <w:r>
        <w:rPr>
          <w:b/>
        </w:rPr>
        <w:t>E. 4.2.1</w:t>
      </w:r>
    </w:p>
    <w:p>
      <w:r>
        <w:t>Aux termes de l’art. 8 CC, chaque partie doit, si la loi ne prescrit pas le contraire, prouver les faits qu’elle allègue pour en déduire son droit. L'art. 8 CC répartit le fardeau de la preuve pour toutes les prétentions fondées sur le droit fédéral et détermine, sur cette base, laquelle des parties doit assumer les conséquences de l'échec de la preuve (ATF 130 III 321 consid. 3.1 ; ATF 129 III 18 consid. 2.6). On déduit également de l'art. 8 CC un droit à la preuve et à la contre-preuve (ATF 129 III 18 consid. 2.6 ; ATF 126 III 315 consid. 4a). En particulier, le juge enfreint cette disposition s'il tient pour exactes les allégations non prouvées d'une partie, nonobstant leur contestation par la partie adverse, ou s'il refuse toute administration de preuve sur des faits pertinents en droit (ATF 130 III 591 consid. 5.4 ; ATF 114 II 289 consid. 2a). En revanche, l'art. 8 CC ne prescrit pas quelles sont les mesures probatoires qui doivent</w:t>
      </w:r>
    </w:p>
    <w:p>
      <w:r>
        <w:t>- 13 - être ordonnées (ATF 127 III 519 consid. 2a), ni ne dicte au juge comment forger sa conviction (ATF 128 III 22 consid. 2d ; ATF 127 III 248 consid. 3a ; ATF 127 III 519 consid. 2a). Ainsi, lorsque l'appréciation des preuves le convainc de la réalité ou de l'inexistence d'un fait, la question de la répartition du fardeau ne se pose plus (ATF 129 III 271 consid. 2b/aa in fine) et devient sans objet (ATF 128 III 271 consid. 2b/aa in fine ; ATF 122 III 219 consid. 3c). Seul le moyen tiré d'une appréciation arbitraire des preuves est alors recevable (cf. ATF 127 III 519 consid. 2a ; ATF 122 III 219 consid. 3c). Une décision n'est pas arbitraire du seul fait qu'elle apparaît discutable ou même critiquable ; il faut qu'elle soit manifestement insoutenable, et cela non seulement dans sa motivation mais aussi dans son résultat (ATF 140 III 16 consid. 2.1).</w:t>
      </w:r>
    </w:p>
    <w:p>
      <w:r>
        <w:rPr>
          <w:b/>
        </w:rPr>
        <w:t>E. 4.2.2</w:t>
      </w:r>
    </w:p>
    <w:p>
      <w:r>
        <w:t>Selon la jurisprudence, une expertise privée établie pour l'une ou l'autre des parties, à l'instar de celle confiée par le maître de l'ouvrage à un architecte ou à un ingénieur, ne constitue pas un moyen de preuve au sens de l'art. 168 al. 1 CPC dans un éventuel procès. Elle n'a que la valeur d'une simple allégation de la partie qui la produit en cause et doit être prouvée si elle est contestée par la partie adverse. Dans la mesure où elle est corroborée par des indices établis par des preuves, elle peut constituer un moyen de preuve (ATF 141 III 433 consid. 2.6 et les arrêts cités ; TF 4A 667/2016 du 3 avril 2017 consid. 5.2.2 et les arrêts cités). Ainsi, si une expertise privée ne se confond pas avec la preuve par expertise judiciaire au sens de l'art. 183 CPC, il n'en demeure pas moins qu'elle n'est pas dépourvue de toute force probante dans la mesure où le juge peut l'apprécier soit comme une déclaration de partie, soit comme un titre (Schweizer, CPC commenté, 2011, n. 4 ad art. 177 CPC). Le fait qu'une expertise privée n'ait pas la même valeur qu'une expertise judiciaire ne signifie pas encore que toute référence à une expertise privée dans un jugement soit constitutive d'arbitraire ; il se peut en effet que ladite expertise ne soit pas contestée sur certains points ou encore qu'elle se révèle convaincante, à l'instar d'une déclaration de partie (TF</w:t>
      </w:r>
    </w:p>
    <w:p>
      <w:r>
        <w:t>- 14 - 4D_71/2013 du 26 février 2014 consid. 2.5 ; CREC 3 juin 2018/191 consid. 5.2).</w:t>
      </w:r>
    </w:p>
    <w:p>
      <w:r>
        <w:rPr>
          <w:b/>
        </w:rPr>
        <w:t>E. 4.2.3.1</w:t>
      </w:r>
    </w:p>
    <w:p>
      <w:r>
        <w:t>Aux termes de l'art. 41 al. 1 CO, celui qui cause, d'une manière illicite, un dommage à autrui, soit intentionnellement, soit par négligence ou imprudence, est tenu de le réparer. La responsabilité aquilienne instaurée par cette norme suppose que soient réalisées cumulativement quatre conditions, à savoir un acte illicite, une faute de l'auteur, un dommage et un rapport de causalité (naturelle et adéquate) entre l'acte fautif et le dommage (Werro, Commentaire romand, Code des obligations I, 2e éd., 2012 [cité ci-après : CR CO I], n. 6 ad 41 CO). Selon la jurisprudence du Tribunal fédéral et la doctrine majoritaire, l'art. 41 CO institue une responsabilité fondée sur la théorie objective de l'illicéité ; l'acte illicite se définit comme la violation d'une norme protectrice des intérêts d'autrui, en l'absence de motifs justificatifs. L'illicéité peut résulter de l'atteinte à un droit absolu du lésé, tel que la vie, l'intégrité corporelle ou la propriété (cf. ATF 122 II 118 consid. 5e) (illicéité du résultat, Erfolgsunrecht), ou de la violation d'une norme de comportement destinée à protéger le lésé (Schutznorm) contre le type de dommage qu'il subit (illicéité du comportement, Verhaltensunrecht) (Werro, CR CO I, n. 72 ad art. 41 CO et les réf. citées ; Werro, La responsabilité civile, 3e éd., 2017 [cité ci-après : Werro, RC], nn. 331 ss p. 105). L'illicéité peut être le fait d'une action ou d'une omission (Werro, CR CO I, n. 77 ad art. 41 CO et les réf. citées ; Werro, RC, n. 336 p. 106).</w:t>
      </w:r>
    </w:p>
    <w:p>
      <w:r>
        <w:rPr>
          <w:b/>
        </w:rPr>
        <w:t>E. 4.2.3.2</w:t>
      </w:r>
    </w:p>
    <w:p>
      <w:r>
        <w:t>Conformément à l'art. 8 CC (cf. supra consid. 4.2.1), il revient au lésé de prouver l'atteinte à un droit absolu ou la violation de la norme de comportement le protégeant. Sur cette base, le juge appréciera le caractère illicite de l'acte ou de l'omission (Werro, CR CO I, n. 78 ad art. 41 CO : Werro, RC, n 338 p. 106). Il revient par ailleurs au lésé d’apporter la preuve de la faute (Werro, RC, n. 291 p. 90 et les réf. citées). La preuve du dommage incombe également au lésé, tandis que celle d'éléments susceptibles de justifier une réduction des dommages-intérêts incombe au responsable (art. 8 CC et 42 al. 1 CO). En application de cette dernière</w:t>
      </w:r>
    </w:p>
    <w:p>
      <w:r>
        <w:t>- 15 - disposition, le lésé doit prouver non seulement l’existence mais aussi le montant du dommage. En particulier, le calcul du dommage doit reposer sur une explication détaillée de tous les éléments qui le constituent (Werro, RC, n. 1079 p. 309). La preuve du lien de causalité naturelle et adéquate appartient, elle aussi, au lésé qui fait valoir son droit à la réparation du dommage (art. 8 CC ; TF 5A_406/2009 du 22 juin 2011 consid. 4.1). La causalité naturelle n’a toutefois pas à être prouvée avec une exactitude scientifique, la jurisprudence admettant que le juge apprécie la vraisemblance du déroulement des faits proposé par le lésé selon le cours ordinaire des choses et l’expérience de la vie (ATF 132 III 715 consid. 3.2 ; Werro, RC, n. 258 p. 79). En cas d'omission, la jurisprudence n'exige pas une preuve stricte et il suffit que le juge parvienne à la conviction qu'une vraisemblance prépondérante plaide pour un certain cours des événements (ATF 132 III 311 consid. 3.5 ; ATF 115 II 449 consid. 6a ; TF 5A_406/2009 du 22 juin 2011 consid. 4.1). La preuve des facteurs interruptifs et celle des facteurs de réduction incombe à l’auteur du dommage (art. 8 CC ; Werro, CR-CO I, n. 49 ad art. 41 et n. 2 ad art. 44).</w:t>
      </w:r>
    </w:p>
    <w:p>
      <w:r>
        <w:rPr>
          <w:b/>
        </w:rPr>
        <w:t>E. 4.4.1</w:t>
      </w:r>
    </w:p>
    <w:p>
      <w:r>
        <w:t>En l’espèce, contrairement à ce que soutient le recourant, l’intimé avait déjà exposé dans ses déterminations du 28 avril 2017 (ad all. 60), en se référant aux pièces 25 et 26, qu'il avait obtenu une copie du « contrat de vente pour voitures d'occasion » par l'intermédiaire de [...] qui l'avait adressée à sa mandataire [...]. Au vu des éléments au dossier, le recourant échoue à établir que l'intimé avait eu connaissance avant la procédure du document précité non signé, soit de la mention « accidenté » y figurant.</w:t>
      </w:r>
    </w:p>
    <w:p>
      <w:r>
        <w:rPr>
          <w:b/>
        </w:rPr>
        <w:t>E. 4.4.2</w:t>
      </w:r>
    </w:p>
    <w:p>
      <w:r>
        <w:t>Dans la mesure où le recourant laisse entendre qu'il n'aurait pas pu se déterminer sur l'expertise de J.________, le grief de la violation de son droit d'être entendu tombe à faux, dès lors que l'expert prénommé a été entendu à l'audience du 27 septembre 2017 en présence des parties et de leurs conseils, qu'il ne ressort pas du procès-verbal d'audience que le recourant aurait soulevé la question de son droit d'être entendu à cette</w:t>
      </w:r>
    </w:p>
    <w:p>
      <w:r>
        <w:t>- 16 - occasion, et que, au contraire, le procès-verbal indique que le conseil du recourant a interrogé l'expert lors de cette audience. Il ressort en outre de la décision attaquée qu'elle a retenu les déclarations de l'expert J.________ dans la mesure où elles étaient crédibles, ce qui relève de l'appréciation des preuves, singulièrement d'une déclaration de partie, admissible au vu des principes énoncés. Il découle également de la décision attaquée que les déclarations de l'expert J.________ ont été retenues dans la mesure où elles n'étaient pas contredites par d'autres éléments du dossier, ce qui en faisait, le cas échéant, un moyen de preuve admissible (cf. supra consid. 4.2.1 et 4.2.2). Or le recourant n'expose pas en quoi l'appréciation de l'expertise et des propos de l'expert en audience serait arbitraire, voire que la décision serait insoutenable dans sa motivation et dans son résultat. Il se limite en réalité à contester la force probante de l'expertise en tant qu'expertise privée et non pas judiciaire. Le recourant ne démontre pas non plus que les déclarations de l'expert dans l'expertise, sur lesquelles s'est appuyée la décision attaquée, auraient été contredites par les déclarations de l'expert lors de son interrogation à l'audience, voire par d'autres éléments du dossier. Le seul fait que l'expert ait indiqué à l'audience qu'il ne pouvait pas dater l'accident, tout en déclarant souligner que l'établissement de la date de l'accident ne lui avait pas été demandée et qu'il s'agissait d'un travail d'investigation long et coûteux, ne suffit pas à considérer la décision comme arbitraire, voire insoutenable dans son résultat. Cela est d'autant plus valable que le recourant n'a à aucun moment offert de rapporter cette preuve, notamment par une expertise judiciaire, mais se limite à s'appuyer sur le « contrat de vente pour voitures d'occasion » qui est dénué de force probante comme déjà confirmé (cf. supra consid. 4.4.1). Il s’ensuit que les griefs doivent être rejetés, sans qu'il faille examiner au surplus la question de la légitimation passive de la société [...] sur laquelle la procédure n'a pas porté en l'espèce.</w:t>
      </w:r>
    </w:p>
    <w:p>
      <w:r>
        <w:t>- 17 -</w:t>
      </w:r>
    </w:p>
    <w:p>
      <w:r>
        <w:rPr>
          <w:b/>
        </w:rPr>
        <w:t>E. 5.1</w:t>
      </w:r>
    </w:p>
    <w:p>
      <w:r>
        <w:t>Au vu de ce qui précède, le recours doit être rejeté selon l’art. 322 al. 1 in fine CPC et la décision entreprise confirmée.</w:t>
      </w:r>
    </w:p>
    <w:p>
      <w:r>
        <w:rPr>
          <w:b/>
        </w:rPr>
        <w:t>E. 5.2</w:t>
      </w:r>
    </w:p>
    <w:p>
      <w:r>
        <w:t>Les frais judiciaires de deuxième instance, arrêtés à 400 fr. (art. 69 al. 1 et 70 al. 1 TFJC [tarif des frais judiciaires civils du 28 septembre 2010 ; RSV 270.11.5]), seront mis à la charge du recourant D.________, qui succombe (art. 106 al. 1 CPC).</w:t>
      </w:r>
    </w:p>
    <w:p>
      <w:r>
        <w:rPr>
          <w:b/>
        </w:rPr>
        <w:t>E. 5.3</w:t>
      </w:r>
    </w:p>
    <w:p>
      <w:r>
        <w:t>L’intimé P.________ n’ayant pas été invité à se déterminer, il n’y a pas lieu à l’allocation de dépens de deuxième instance. Par ces motifs, la Chambre des recours civile du Tribunal cantonal, en application de l'art. 322 al. 1 CPC, prononce : I. Le recours est rejeté. II. La décision est confirmée. III. Les frais judiciaires de deuxième instance, arrêtés à 400 fr. (quatre cents francs), sont mis à la charge du recourant D.________. IV. L’arrêt est exécutoire. Le président : La greffière :</w:t>
      </w:r>
    </w:p>
    <w:p>
      <w:r>
        <w:t>- 18 - Du L'arrêt qui précède, dont la rédaction a été approuvée à huis clos, est notifié à : - M. Christophe Savoy, aab. (pour D.________), - Me Catherine Merényi (pour P.________).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 – 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