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JJ13.009154 vom 17. April 2014</w:t>
      </w:r>
    </w:p>
    <w:p>
      <w:r>
        <w:t>VD Tribunal cantonal, 2014-04-17, FR</w:t>
      </w:r>
    </w:p>
    <w:p>
      <w:r>
        <w:rPr>
          <w:b/>
        </w:rPr>
        <w:t xml:space="preserve">Quelle: </w:t>
      </w:r>
      <w:r>
        <w:t>https://mcp.opencaselaw.ch/entscheid/vd_gerichte_JJ13.009154</w:t>
      </w:r>
    </w:p>
    <w:p>
      <w:r>
        <w:t>FR: VD_GERICHTE JJ13.009154 du 17 avril 2014</w:t>
      </w:r>
    </w:p>
    <w:p>
      <w:r>
        <w:t>IT: VD_GERICHTE JJ13.009154 del 17 aprile 2014</w:t>
      </w:r>
    </w:p>
    <w:p>
      <w:pPr>
        <w:pStyle w:val="Heading2"/>
      </w:pPr>
      <w:r>
        <w:t>Erwägungen</w:t>
      </w:r>
    </w:p>
    <w:p>
      <w:r>
        <w:rPr>
          <w:b/>
        </w:rPr>
        <w:t>E. 1</w:t>
      </w:r>
    </w:p>
    <w:p>
      <w:r>
        <w:t>La demanderesse L.________ est une société anonyme, dont le siège est à Cologny et qui a le but suivant: "effectuer toutes opérations entrant dans le cadre des activités d'une société fiduciaire; prise de participations financières dans toutes entreprises commerciales ou industrielles". J.________ est l'administrateur unique de cette société; il est au bénéfice d'une signature individuelle. Le défendeur A.H.________ et son épouse B.H.________ connaissaient J.________ pour avoir été voisins; ils entretenaient une relation amicale et discutaient de leurs domaines d'activité respectifs.</w:t>
      </w:r>
    </w:p>
    <w:p>
      <w:r>
        <w:rPr>
          <w:b/>
        </w:rPr>
        <w:t>E. 2</w:t>
      </w:r>
    </w:p>
    <w:p>
      <w:r>
        <w:t>En 2010, le défendeur et son épouse ont acquis un immeuble sis [...] à Gingins. Dans le cadre de cette acquisition, ils ont donné mandat à W.________, architecte EPFZ-SIA, d'élaborer un avant-projet sur la possibilité de construire une petite annexe et une piscine ainsi qu'un projet portant sur des aménagements extérieurs. Une réunion avec l'architecte a été fixée sur le site de la villa le samedi 24 avril 2010. Par courriel du 23 avril 2010, l'épouse du défendeur a demandé à J.________ s'il pouvait assister à cette réunion, en lui précisant que son avis était important pour elle et le défendeur; elle souhaitait également qu'il leur présente la société [...].</w:t>
      </w:r>
    </w:p>
    <w:p>
      <w:r>
        <w:t>- 4 - Lors d'une rencontre fortuite, l'épouse du défendeur a demandé à J.________ ce qu'était une servitude et lui a présenté le projet de "vente à terme conditionnelle et droit d'emption" daté du 28 avril 2010. Le prénommé lui a spontanément proposé d'examiner ce document. Par courriel du 28 avril 2010, l'épouse du défendeur a adressé à J.________ le projet de vente en lui indiquant ce qui suit: "Hello there, here is the contract, skip all the servitudes…". Le prénommé a procédé à diverses annotations sur le document. Par courriel du 29 avril 2010, le défendeur a écrit à J.________ ce qui suit: "Point number 5: I wonder if this point clearly protect 100% of the house. Although the ID [...] might mention this issue, I would have a preference to see it in the contract". Le défendeur, son épouse et J.________ se sont échangés leurs courriels par le biais des adresses électroniques suivantes: " [...]", " [...]" et " [...]".</w:t>
      </w:r>
    </w:p>
    <w:p>
      <w:r>
        <w:rPr>
          <w:b/>
        </w:rPr>
        <w:t>E. 3</w:t>
      </w:r>
    </w:p>
    <w:p>
      <w:r>
        <w:t>Le 9 mai 2011, la demanderesse a adressé aux époux H.________ une note d'honoraires d'un montant de 3'228 fr., TVA comprise, qui portait sur les prestations suivantes: "Entretiens avec Madame B.H.________ dès le 20 avril 2010 Rendez-vous [...] et visite des lieux Entretiens avec Madame B.H.________ concernant les servitudes et l'interprétation française de la vente à terme conditionnel[le] et droit d'emption, projet de Me [...] Commentaire par mail sur le document susmentionné Divers entretiens téléphoniques avec vous-même Visite sur place avec vous-même et entreprise Visite avec vous-même et votre architecte Madame W.________ Trajets et déplacements inclus</w:t>
      </w:r>
    </w:p>
    <w:p>
      <w:r>
        <w:t>- 5 - Toutes activités fiduciaires arrêté [sic] au 30.05.2010 [c]oncernant [...]" L'adresse électronique de contact inscrite sur cette note d'honoraires était la suivante: " [...]". Par courrier du 8 septembre 2011, les époux H.________ ont informé la demanderesse qu'ils contestaient être ses débiteurs, dès lors qu'ils n'avaient aucune relation contractuelle avec elle, et précisé qu'ils n'étaient pas davantage les débiteurs de J.________.</w:t>
      </w:r>
    </w:p>
    <w:p>
      <w:r>
        <w:rPr>
          <w:b/>
        </w:rPr>
        <w:t>E. 4</w:t>
      </w:r>
    </w:p>
    <w:p>
      <w:r>
        <w:t>Le 25 juin 2012, un commandement de payer la somme de 3'228 fr., avec intérêt à 5% l'an dès le 9 mai 2011, poursuite n° [...] de l'Office des poursuites du district de Nyon, a été notifié au défendeur, qui y a formé opposition. Le commandement de payer indiquait comme cause de l'obligation: "Facture no 20110509 du 9 mai 2011".</w:t>
      </w:r>
    </w:p>
    <w:p>
      <w:r>
        <w:rPr>
          <w:b/>
        </w:rPr>
        <w:t>E. 5</w:t>
      </w:r>
    </w:p>
    <w:p>
      <w:r>
        <w:t>a) En définitive, le recours doit être rejeté dans la procédure de l'art. 322 al. 1 CPC et la décision entreprise confirmée. b) Les frais judiciaires de deuxième instance, arrêtés à 200 fr. (art. 69 al. 1 TFJC [tarif des frais judiciaires civils du 28 septembre 2010, RSV 270.11.5]), sont mis à la charge de la recourante qui succombe (art. 106 al. 1 CPC). c) L'intimé n'ayant pas été invité à se déterminer, il n'y a pas lieu à l'allocation de dépens de deuxième instance. Par ces motifs, la Chambre des recours civile du Tribunal cantonal, statuant à huis clos, dans la procédure de l'art. 322 al. 1 CPC, prononce : I. Le recours est rejeté. II. La décision est confirmée. III. Les frais judiciaires de deuxième instance, arrêtés à 200 fr. (deux cents francs), sont mis à la charge de la recourante L.________. IV. L'arrêt est exécutoire.</w:t>
      </w:r>
    </w:p>
    <w:p>
      <w:r>
        <w:t>- 14 - La vice-présidente : La greffière : Du L'arrêt qui précède, dont la rédaction a été approuvée à huis clos, est notifié à : - Me Marc Ursenbacher (pour L.________), - Me Lorraine Ruf (pour A.H.________). La Chambre des recours civile considère que la valeur litigieuse est de 3'228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