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JJ12.042758 vom 30. Juli 2013</w:t>
      </w:r>
    </w:p>
    <w:p>
      <w:r>
        <w:t>VD Tribunal cantonal, 2013-07-30, FR</w:t>
      </w:r>
    </w:p>
    <w:p>
      <w:r>
        <w:rPr>
          <w:b/>
        </w:rPr>
        <w:t xml:space="preserve">Quelle: </w:t>
      </w:r>
      <w:r>
        <w:t>https://mcp.opencaselaw.ch/entscheid/vd_gerichte_JJ12.042758</w:t>
      </w:r>
    </w:p>
    <w:p>
      <w:r>
        <w:t>FR: VD_GERICHTE JJ12.042758 du 30 juillet 2013</w:t>
      </w:r>
    </w:p>
    <w:p>
      <w:r>
        <w:t>IT: VD_GERICHTE JJ12.042758 del 30 luglio 2013</w:t>
      </w:r>
    </w:p>
    <w:p>
      <w:pPr>
        <w:pStyle w:val="Heading2"/>
      </w:pPr>
      <w:r>
        <w:t>Erwägungen</w:t>
      </w:r>
    </w:p>
    <w:p>
      <w:r>
        <w:rPr>
          <w:b/>
        </w:rPr>
        <w:t>E. 1</w:t>
      </w:r>
    </w:p>
    <w:p>
      <w:r>
        <w:t>A.________, requérante, est une société qui a notamment pour but l'exploitation de garages et de carrosseries. V.________, intimée, a confié à la requérante son véhicule Volkswagen Passat pour qu'elle entreprenne les travaux nécessaires à son expertise prévue le 25 mars 2010. Le 30 mars 2010, la requérante a adressé à l'intimée une facture portant sur travaux qu'elle avait exécutés d'un montant de 1'042 fr. 65. En dépit de deux rappels, datés des 10 juillet 2010 et 15 décembre 2011, l'intimée ne s'est pas acquittée de ce montant. Le 19 juin 2012, l'Office des poursuites du district de Lausanne a, sur réquisition de la requérante, fait notifier un commandement de payer la somme de 1'262 fr. 65, poursuite n° [...], à l'intimée, qui y a formé opposition totale.</w:t>
      </w:r>
    </w:p>
    <w:p>
      <w:r>
        <w:t>- 4 -</w:t>
      </w:r>
    </w:p>
    <w:p>
      <w:r>
        <w:rPr>
          <w:b/>
        </w:rPr>
        <w:t>E. 2</w:t>
      </w:r>
    </w:p>
    <w:p>
      <w:r>
        <w:t>Le recours est recevable pour violation du droit et constatation manifestement inexacte des faits (art. 320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2e éd., Berne 2010, n. 2508, p. 452).</w:t>
      </w:r>
    </w:p>
    <w:p>
      <w:r>
        <w:rPr>
          <w:b/>
        </w:rPr>
        <w:t>E. 2.1</w:t>
      </w:r>
    </w:p>
    <w:p>
      <w:r>
        <w:t>s’agissant de la production de pièces; CACI 29 mars 2012/157 c. 3b; CACI 16 mai 2013/260 c. 3b).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c) En l'espèce, dans sa requête du 4 octobre 2012, l'intimée a conclu au paiement de la somme de 1'042 fr. 65 en se fondant sur un contrat d'entreprise, la facture du 30 mars 2010 relative aux travaux</w:t>
      </w:r>
    </w:p>
    <w:p>
      <w:r>
        <w:t>- 7 - qu'elle avait effectués sur le véhicule de la recourante et les rappels des 10 juillet 2010 et 15 décembre 2011 qui ont suivi. La recourante se contente pour sa part d'affirmer que l'avis des défauts pourrait être prouvé par témoin, sans indiquer que ce soit en première instance où elle a fait défaut, ni même en procédure de recours quel(s) témoin(s) elle pourrait faire entendre. Il s'ensuit que le moyen de la recourante est sans consistance et ne remet pas en question l'application de la protection dans les cas clairs. Partant, ce moyen est mal fondé.</w:t>
      </w:r>
    </w:p>
    <w:p>
      <w:r>
        <w:rPr>
          <w:b/>
        </w:rPr>
        <w:t>E. 3</w:t>
      </w:r>
    </w:p>
    <w:p>
      <w:r>
        <w:t>a) La recourante reproche au premier juge d'avoir retenu "sans autre" qu'elle n'avait jamais adressé un avis des défauts ou une quelconque contestation des travaux. Elle expose que, dans le cadre du contrat d'entreprise, l'avis des défauts n'est soumis à aucune exigence de forme particulière et qu'il peut notamment être donné oralement, auquel cas il ne peut être établi par pièce, mais peut l'être par témoin. b) De manière générale, l’art. 257 CPC n’est pas seulement applicable lorsque l’état de fait est incontesté, mais également lorsqu’il est susceptible d’être immédiatement prouvé (TF 4A_585/2011 du 7 novembre 2011 c. 3.3.1, traduit in SJ 2012 I 122), notamment sur la base de moyens de preuve immédiatement disponibles, en particulier des pièces (Sutter-Somm/Lötscher, Kommentar zur Schweizerischen Zivilprozessordnung, Zurich 2010, n. 5 ad art. 257 CPC; Gösku, DIKE Komm ZPO, Zurich 2011, n. 8 ad art. 257 CPC; ATF 138 III 123 c. 2.1; CACI 16 mai 2013/260 c. 3b).</w:t>
      </w:r>
    </w:p>
    <w:p>
      <w:r>
        <w:t>- 6 -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w:t>
      </w:r>
    </w:p>
    <w:p>
      <w:r>
        <w:rPr>
          <w:b/>
        </w:rPr>
        <w:t>E. 4</w:t>
      </w:r>
    </w:p>
    <w:p>
      <w:r>
        <w:t>a) En définitive, le recours doit être rejeté en application de l'art. 322 al. 1 CPC et la décision entreprise confirmée. b) Les frais judiciaires de deuxième instance, arrêtés à 100 fr. (art. 69 al. 1 TFJC [tarif du 28 septembre 2010 des frais judiciaires civils, RSV 270.11.5]), sont mis à la charge de la recourante qui succombe (art. 106 al. 1 CPC). c) Il n'est pas alloué de dépens de deuxième instance, l'intimée n'ayant pas été invitée à se déterminer. Par ces motifs, la Chambre des recours civile du Tribunal cantonal, statuant à huis clos, en application de l'art. 322 al. 1 CPC, prononce : I. Le recours est rejeté. II. La décision est confirmée.</w:t>
      </w:r>
    </w:p>
    <w:p>
      <w:r>
        <w:t>- 8 - III. Les frais judiciaires de deuxième instance, arrêtés à 100 fr. (cent francs), sont mis à la charge de la recourante. IV. L'arrêt est exécutoire. Le président : La greffière : Du L'arrêt qui précède, dont la rédaction a été approuvée à huis clos, est notifié à : - Me Marc-Aurèle Vollenweider (pour V.________), - M. Pierre-Yves Zurcher (pour A.________) La Chambre des recours civile considère que la valeur litigieuse est de 1'042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