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JI25.025446 vom 9. April 2026</w:t>
      </w:r>
    </w:p>
    <w:p>
      <w:r>
        <w:t>VD Tribunal cantonal, 2026-04-09, FR</w:t>
      </w:r>
    </w:p>
    <w:p>
      <w:r>
        <w:rPr>
          <w:b/>
        </w:rPr>
        <w:t xml:space="preserve">Quelle: </w:t>
      </w:r>
      <w:r>
        <w:t>https://mcp.opencaselaw.ch/entscheid/vd_gerichte_JI25.025446</w:t>
      </w:r>
    </w:p>
    <w:p>
      <w:r>
        <w:t>FR: VD_GERICHTE JI25.025446 du 9 avril 2026</w:t>
      </w:r>
    </w:p>
    <w:p>
      <w:r>
        <w:t>IT: VD_GERICHTE JI25.025446 del 9 aprile 2026</w:t>
      </w:r>
    </w:p>
    <w:p>
      <w:pPr>
        <w:pStyle w:val="Heading2"/>
      </w:pPr>
      <w:r>
        <w:t>Erwägungen</w:t>
      </w:r>
    </w:p>
    <w:p>
      <w:r>
        <w:rPr>
          <w:b/>
        </w:rPr>
        <w:t>E. 1</w:t>
      </w:r>
    </w:p>
    <w:p>
      <w:r>
        <w:t>Par demande du 29 mai 2025, la recourante a ouvert action à l’encontre de C.________ en fixation de la contribution d’entretien et des droits parentaux sur leur fils D.________, né le ***2023.</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Le recours doit être introduit dans un délai de dix jours (art. 119 al. 3 et 321 al. 2 CPC) auprès de l’instance de recours, soit la Chambre des recours civile (art. 73 al. 1 LOJV [loi d’organisation judiciaire du 12 décembre 1979 ; BLV 173.01]).</w:t>
      </w:r>
    </w:p>
    <w:p>
      <w:r>
        <w:rPr>
          <w:b/>
        </w:rPr>
        <w:t>E. 1.2</w:t>
      </w:r>
    </w:p>
    <w:p>
      <w:r>
        <w:t>Déposé en temps utile contre une décision sujette à recours par une partie disposant d’un intérêt digne de protection (art. 59 al. 2 let. a CPC), le recours est recevable. 14J010</w:t>
      </w:r>
    </w:p>
    <w:p>
      <w:r>
        <w:t>- 4 - 2.</w:t>
      </w:r>
    </w:p>
    <w:p>
      <w:r>
        <w:rPr>
          <w:b/>
        </w:rPr>
        <w:t>E. 2</w:t>
      </w:r>
    </w:p>
    <w:p>
      <w:r>
        <w:t>Le 29 décembre 2025, la recourante disposait d’une fortune mobilière de 41'428 fr. 39 sur son compte bancaire A.________. 14J010</w:t>
      </w:r>
    </w:p>
    <w:p>
      <w:r>
        <w:t>- 3 - Le même jour, un montant de 30'000 fr. a été débité dudit compte bancaire et transféré sur un compte épargne jeunesse ouvert en faveur de D.________. En date du 31 décembre 2025, la recourante disposait d’une fortune mobilière de 10'424 fr. 41 sur son compte bancaire A.________.</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w:t>
      </w:r>
    </w:p>
    <w:p>
      <w:r>
        <w:rPr>
          <w:b/>
        </w:rPr>
        <w:t>E. 2.2</w:t>
      </w:r>
    </w:p>
    <w:p>
      <w:r>
        <w:t>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3.</w:t>
      </w:r>
    </w:p>
    <w:p>
      <w:r>
        <w:rPr>
          <w:b/>
        </w:rPr>
        <w:t>E. 3</w:t>
      </w:r>
    </w:p>
    <w:p>
      <w:r>
        <w:t>Le 29 janvier 2026, la recourante a requis l’assistance judiciaire, déposant le formulaire ad hoc. Interpellée par la présidente s’agissant du transfert de 30'000 fr. susmentionné, la recourante s’est déterminée par courrier du 24 février 2026. En dro it : 1.</w:t>
      </w:r>
    </w:p>
    <w:p>
      <w:r>
        <w:rPr>
          <w:b/>
        </w:rPr>
        <w:t>E. 3.1</w:t>
      </w:r>
    </w:p>
    <w:p>
      <w:r>
        <w:t>La recourante fait valoir que la somme de 30'000 fr. dont il est question dans la décision litigieuse correspond à des économies accumulées au fil de ses années de travail et a été placée sur un compte dont son fils est le bénéficiaire. Ces fonds seraient ainsi réservés à celui-ci dans le but de lui garantir une sécurité financière et ne devraient pas être pris en compte dans sa fortune. 14J010</w:t>
      </w:r>
    </w:p>
    <w:p>
      <w:r>
        <w:t>- 5 -</w:t>
      </w:r>
    </w:p>
    <w:p>
      <w:r>
        <w:rPr>
          <w:b/>
        </w:rPr>
        <w:t>E. 3.2</w:t>
      </w:r>
    </w:p>
    <w:p>
      <w:r>
        <w:t>Selon l’art. 117 CPC, une personne a droit à l’assistance judiciaire si elle ne dispose pas de ressources suffisantes (let. a) et que sa cause ne paraît pas dépourvue de toute chance de succès (let. b). Une personne est indigente au sens de l'art. 117 let. a CPC lorsqu'elle n'est pas en mesure d'assumer les frais de la procédure sans porter atteinte au minimum nécessaire à son entretien et à celui de sa famille (ATF 144 III 53 consid. 4.1 ; ATF 141 III 369 consid. 4.1 ; TF 4A_482/2022 du 29 novembre 2022 consid. 3.1).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141 III 369 consid. 4.1 ; ATF 135 I 221 consid. 5.1 ; TF 5A_69/2022 du 17 mai 2023 consid. 4.1.2 ; TF 5A_984/2022 du 27 mars 2023 consid. 3.1). Seules les charges réellement acquittées sont susceptibles d'entrer dans le calcul du minimum vital (ATF 135 I 221 consid. 5.1 ; ATF 121 III 20 consid. 3a ; TF 4A_278/2022 du 22 août 2022 consid. 3.1). La fortune doit être prise en compte dans les ressources du requérant, pour autant qu'elle soit disponible (ATF 124 I 1 consid. 2a et 3b ; TF 5A_863/2017 du 3 août 2018 consid. 3.2 ; TF 9C_147/2011 du 20 juin 2011 et les réf. cit.). Si l'Etat peut exiger du requérant qu'il utilise ses économies, il doit laisser à celui-ci le bénéfice d'une « réserve de secours », s'appréciant en fonction de ses besoins futurs et dont le montant se situe dans une fourchette allant de 10'000 fr. à 25'000 fr. (TF 4A_250/2019 du 7 octobre 2019 consid. 2.1.2 et les réf. cit. ; TF 9C 874/2008 du 11 février 2009 consid. 3.2 ; TF 5P.375/2006 du 18 décembre 2004 consid. 3.4 ; TF 1P.450/2004 du 28 septembre 2004 consid. 2.1).</w:t>
      </w:r>
    </w:p>
    <w:p>
      <w:r>
        <w:rPr>
          <w:b/>
        </w:rPr>
        <w:t>E. 3.3</w:t>
      </w:r>
    </w:p>
    <w:p>
      <w:r>
        <w:t>La présidente a retenu que la recourante bénéficiait d'une fortune mobilière de 41'428 fr. 39 au 29 décembre 2025 et de 10'424 fr. 41 au 31 décembre 2025. La différence entre ces deux montants découlait pour 14J010</w:t>
      </w:r>
    </w:p>
    <w:p>
      <w:r>
        <w:t>- 6 - l’essentiel du transfert d’une somme de 30'000 fr. effectué en faveur de son fils sur un compte épargne jeunesse. La présidente a considéré que la recourante s'était dessaisie volontairement de cet argent, un mois avant le dépôt de sa demande d'assistance judiciaire, et donc sans motifs suffisants. Ce raisonnement doit être confirmé. La recourante est en effet en mesure d'assumer les frais de la procédure sans porter atteinte au minimum nécessaire à son entretien et à celui de sa famille. De son propre aveu (cf. recours p. 1), l'entretien de son fils est assuré par la contribution de 2'600 fr. qu'elle reçoit pour l'enfant. L'épargne qu'elle souhaite lui assurer est sans rapport avec l'entretien de celui-ci et a été constituée pour lui assurer une sécurité financière qui n'entre pas en considération pour établir la situation financière actuelle de la recourante dans le cadre de sa demande d'assistance judiciaire. Au contraire, celle-ci doit prioritairement assumer les frais de la procédure en raison du disponible que lui laisse sa fortune mobilière. Au surplus, en sa qualité de représentante légale de l’enfant – et de surcroît ayant effectué le transfert des fonds litigieux, la recourante en a toujours la libre disposition. Le grief est dès lors vain. 4. En conclusion, le recours, manifestement mal fondé, doit être rejeté selon le mode procédural prévu par l’art. 322 al. 1 in fine CPC et la décision attaquée confirmée. Les frais judiciaires de deuxième instance, arrêtés à 100 fr. (art. 69 al. 3 TFJC ; tarif du 28 septembre 2010 des frais judiciaires civils ; BLV 270.11.5), doivent être mis à la charge de la recourante, qui succombe (art. 106 al. 1 CPC). 14J010</w:t>
      </w:r>
    </w:p>
    <w:p>
      <w:r>
        <w:t>- 7 -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B.________. IV. L’arrêt est exécutoire. Le vice-président : Le greffier : Du L'arrêt qui précède, dont la rédaction a été approuvée à huis clos, est notifié à : -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14J010</w:t>
      </w:r>
    </w:p>
    <w:p>
      <w:r>
        <w:t>- 8 - être déposés devant le Tribunal fédéral dans les trente jours qui suivent la présente notification (art. 100 al. 1 LTF). Cet arrêt est communiqué, par l'envoi de photocopies, à : - Mme la Présidente du Tribunal civil de l’arrondissement de l’Est vaudois. Le greffier : 14J010</w:t>
      </w:r>
    </w:p>
    <w:p>
      <w:r>
        <w:rPr>
          <w:b/>
        </w:rPr>
        <w:t>E. 6</w:t>
      </w:r>
    </w:p>
    <w:p>
      <w:r>
        <w:t>mai 2022 consid. 2.2.1 ; TF 4D_30/2017 du 5 décembre 2017 consid. 2.2 et les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