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JI25.013328 vom 12. August 2025</w:t>
      </w:r>
    </w:p>
    <w:p>
      <w:r>
        <w:t>VD Tribunal cantonal, 2025-08-12, FR</w:t>
      </w:r>
    </w:p>
    <w:p>
      <w:r>
        <w:rPr>
          <w:b/>
        </w:rPr>
        <w:t xml:space="preserve">Quelle: </w:t>
      </w:r>
      <w:r>
        <w:t>https://mcp.opencaselaw.ch/entscheid/vd_gerichte_JI25.013328</w:t>
      </w:r>
    </w:p>
    <w:p>
      <w:r>
        <w:t>FR: VD_GERICHTE JI25.013328 du 12 août 2025</w:t>
      </w:r>
    </w:p>
    <w:p>
      <w:r>
        <w:t>IT: VD_GERICHTE JI25.013328 del 12 agosto 2025</w:t>
      </w:r>
    </w:p>
    <w:p>
      <w:pPr>
        <w:pStyle w:val="Heading2"/>
      </w:pPr>
      <w:r>
        <w:t>Erwägungen</w:t>
      </w:r>
    </w:p>
    <w:p>
      <w:r>
        <w:rPr>
          <w:b/>
        </w:rPr>
        <w:t>E. 1</w:t>
      </w:r>
    </w:p>
    <w:p>
      <w:r>
        <w:t>H.________ et G.________ sont les parents non mariés des enfants A.K.________, né le [...], B.K.________, née le [...], et C.K.________, née le [...].</w:t>
      </w:r>
    </w:p>
    <w:p>
      <w:r>
        <w:rPr>
          <w:b/>
        </w:rPr>
        <w:t>E. 2</w:t>
      </w:r>
    </w:p>
    <w:p>
      <w:r>
        <w:t>Par ordonnance de mesures provisionnelles du 30 juillet 2025, le Président du Tribunal civil de l’arrondissement de La Côte (ci-après : le président ou le premier juge) a notamment confié la garde des enfants A.K.________, B.K.________ et C.K.________ à leur mère, auprès de laquelle ils seront domiciliés (I), a confirmé le chiffre IV de l’ordonnance de mesures superprovisionnelles du 13 juin 2025, tel que modifié par ordonnance de mesures superprovisionnelles du 2 juillet 2025, interdisant à H.________ de se rendre au logement commun sis [...] à [...], sous la menace de la peine d’amende en cas d’insoumission à une décision de l’autorité prévue à l’art. 292 CP (Code pénal suisse ; RS 311.0) (VII), a dit que H.________ contribuerait à l’entretien de ses enfants par le régulier versement d’une pension de 340 fr. par enfant, éventuelles allocations familiales dues en sus, payable d’avance le premier de chaque mois en mains de G.________, dès et y compris le 1er mai 2025, sous déduction des éventuels montants déjà versés à ce titre (VIII) et a dit que le montant assurant l’entretien convenable des enfants, allocations familiales par 303 fr. déduites, était arrêté à 608 fr. 70 par enfant et par mois dès le 1er janvier 2026 (IX).</w:t>
      </w:r>
    </w:p>
    <w:p>
      <w:r>
        <w:rPr>
          <w:b/>
        </w:rPr>
        <w:t>E. 3</w:t>
      </w:r>
    </w:p>
    <w:p>
      <w:r>
        <w:t>Par acte du 11 août 2025, H.________ (ci-après : le requérant) a interjeté appel de cette ordonnance, avec requête d’effet suspensif, en ce sens que l’exécution du chiffre VIII de ladite ordonnance soit suspendu jusqu’à droit connu sur l’appel. G.________ (ci-après : l’intimée) n’a pas été invitée à se déterminer.</w:t>
      </w:r>
    </w:p>
    <w:p>
      <w:r>
        <w:t>- 3 -</w:t>
      </w:r>
    </w:p>
    <w:p>
      <w:r>
        <w:rPr>
          <w:b/>
        </w:rPr>
        <w:t>E. 4.1.1</w:t>
      </w:r>
    </w:p>
    <w:p>
      <w:r>
        <w:t>Aux termes de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w:t>
      </w:r>
    </w:p>
    <w:p>
      <w:r>
        <w:rPr>
          <w:b/>
        </w:rPr>
        <w:t>E. 4.1.2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w:t>
      </w:r>
    </w:p>
    <w:p>
      <w:r>
        <w:t>- 4 -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1er avril 2025/ES32 consid. 4.1.2 ; Juge unique CACI 27 février 2025/ES19 consid. 5.1.2), cette pratique n’ayant toutefois aucune portée normative (TF 5A_83/2023 du 15 août 2023).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w:t>
      </w:r>
    </w:p>
    <w:p>
      <w:r>
        <w:rPr>
          <w:b/>
        </w:rPr>
        <w:t>E. 4.2.1</w:t>
      </w:r>
    </w:p>
    <w:p>
      <w:r>
        <w:t>En l’espèce, le requérant fait valoir que le premier juge n’a pas tenu compte de frais de loyer lui permettant de se reloger. Au surplus, il reproche au président d’avoir intégré dans ses charges les frais de logement – déduits de son salaire – et d’électricité dont il est débiteur pour l’appartement occupé par l’intimée et les trois enfants des parties, violant de ce fait son minimum vital.</w:t>
      </w:r>
    </w:p>
    <w:p>
      <w:r>
        <w:rPr>
          <w:b/>
        </w:rPr>
        <w:t>E. 4.2.2</w:t>
      </w:r>
    </w:p>
    <w:p>
      <w:r>
        <w:t>En ce qui concerne les contributions d’entretien courantes et futures, on relèvera tout d’abord que le requérant n’allègue ni ne démontre s’être constitué un domicile séparé augmentant le montant</w:t>
      </w:r>
    </w:p>
    <w:p>
      <w:r>
        <w:t>- 5 - effectif total de ses charges mensuelles, rendant la modification des contributions d’entretien prématurée à ce stade. S’agissant de la prise en charge des frais du logement occupé par l’intimée et les enfants, ainsi que les frais d’électricité y afférant, ces questions excèdent manifestement l’examen sommaire auquel doit se limiter la Juge de céans, qui ne saurait se livrer à leur analyse sauf à préjuger de l’issue d’une substantielle partie de l’appel. Par ailleurs, et sans préjuger des griefs de l’appel, le requérant se contente d’affirmer que le paiement des contributions d’entretien courante et futures violerait l’intangibilité de son minimum vital sans le démonter et n’argue pas que le recouvrement du montant acquitté paraîtrait aléatoire en raison de la solvabilité douteuse de l’intimée. Par conséquent, le requérant ne démontre pas subir un préjudice difficilement réparable. Il convient dès lors de rejeter la requête d’effet suspensif pour les contributions d’entretien courantes et futures. L’effet suspensif sera en revanche admis en ce qui concerne l’arriéré des contributions d’entretien accumulé depuis le 1er mai 2025. Cet arriéré ne constitue en effet qu’une dette et l’intimée dispose actuellement d’une situation financière excédentaire. Par conséquent, compte tenu de la règle jurisprudentielle rappelée ci-dessus (cf. supra consid. 4.1.2), et sans préjuger le fond du litige, l’intérêt du requérant à une suspension de l’exécution de l’ordonnance s’agissant des arriérés de pensions l’emporte sur celui de l’intimée à en obtenir immédiatement le versement.</w:t>
      </w:r>
    </w:p>
    <w:p>
      <w:r>
        <w:rPr>
          <w:b/>
        </w:rPr>
        <w:t>E. 5</w:t>
      </w:r>
    </w:p>
    <w:p>
      <w:r>
        <w:t>En définitive, la requête d’effet suspensif doit être partiellement admise en ce sens que, jusqu’à droit connu sur l’appel, l’exécution du chiffre VIII du dispositif de l’ordonnance entreprise est suspendue en ce qui concerne les contributions d’entretien échues du 1er mai 2025 au 31 août 2025. La requête d’effet suspensif est rejetée pour le surplus, soit s’agissant des contributions d’entretien à verser dès le 1er septembre 2025.</w:t>
      </w:r>
    </w:p>
    <w:p>
      <w:r>
        <w:t>- 6 - Il sera statué sur les frais judiciaires et les dépens dans le cadre de l’arrêt sur appel à intervenir (cf. art. 104 al. 3 CPC). Par ces motifs, la Juge unique de la Cour d’appel civile, prononce : I. La requête d’effet suspensif est partiellement admise. II. L’exécution du chiffres VIII du dispositif de l’ordonnance de mesures provisionnelles rendue le 30 juillet 2025 par le Président du Tribunal civil de l’arrondissement de La Côte est suspendue jusqu’à droit connu sur l’appel en ce qui concerne les contributions d’entretien échues du 1er mai 2025 au 31 août 2025. III. Il sera statué sur les frais judiciaires et les dépens de la présente ordonnance dans le cadre de l’arrêt sur appel à intervenir.</w:t>
      </w:r>
    </w:p>
    <w:p>
      <w:r>
        <w:t>- 7 - La juge unique : La greffière : Du La présente ordonnance, dont la rédaction a été approuvée à huis clos, est notifiée à : - Me Jean-Lou Maury (pour H.________), - Me David Trajilovic (pour G.________),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