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JI25.012131 vom 20. April 2026</w:t>
      </w:r>
    </w:p>
    <w:p>
      <w:r>
        <w:t>VD Tribunal cantonal, 2026-04-20, FR</w:t>
      </w:r>
    </w:p>
    <w:p>
      <w:r>
        <w:rPr>
          <w:b/>
        </w:rPr>
        <w:t xml:space="preserve">Quelle: </w:t>
      </w:r>
      <w:r>
        <w:t>https://mcp.opencaselaw.ch/entscheid/vd_gerichte_JI25.012131</w:t>
      </w:r>
    </w:p>
    <w:p>
      <w:r>
        <w:t>FR: VD_GERICHTE JI25.012131 du 20 avril 2026</w:t>
      </w:r>
    </w:p>
    <w:p>
      <w:r>
        <w:t>IT: VD_GERICHTE JI25.012131 del 20 aprile 2026</w:t>
      </w:r>
    </w:p>
    <w:p>
      <w:pPr>
        <w:pStyle w:val="Heading2"/>
      </w:pPr>
      <w:r>
        <w:t>Erwägungen</w:t>
      </w:r>
    </w:p>
    <w:p>
      <w:r>
        <w:rPr>
          <w:b/>
        </w:rPr>
        <w:t>E. 1.1</w:t>
      </w:r>
    </w:p>
    <w:p>
      <w:r>
        <w:t>Selon l’art. 308 al. 1 let. a CPC (Code de procédure civile du 19 décembre 2008 ; RS 272), l’appel est recevable contre les décisions finales ou incidentes de première instance dans les causes non patrimoniales ou dont la valeur litigieuse, au dernier état des conclusions devant l’autorité inférieure, est supérieure à 10'000 fr. (art. 308 al. 2 CPC). Le délai pour l’introduction de l’appel est de trente jours (art. 311 al. 1 CPC). Lorsque la loi désigne une autorité collégiale pour statuer sur le fond, un membre de la Cour d’appel civile statue comme juge unique sur les causes manifestement sans objet (art. 43 al. 1 let. d CDPJ [code de droit privé judiciaire vaudois du 12 janvier 2010 ; BLV 211.02]).</w:t>
      </w:r>
    </w:p>
    <w:p>
      <w:r>
        <w:rPr>
          <w:b/>
        </w:rPr>
        <w:t>E. 1.2</w:t>
      </w:r>
    </w:p>
    <w:p>
      <w:r>
        <w:t>Formé en temps utile par une partie disposant d’un intérêt digne de protection (art. 59 al. 2 let. a CPC) contre une décision finale, l’appel est recevable.</w:t>
      </w:r>
    </w:p>
    <w:p>
      <w:r>
        <w:rPr>
          <w:b/>
        </w:rPr>
        <w:t>E. 2.1</w:t>
      </w:r>
    </w:p>
    <w:p>
      <w:r>
        <w:t>L’appelant soutient que le déplacement de l’enfant en France est illicite et que la compétence des autorités suisses doit être maintenue en application de la CLaH96 (Convention de La Haye du 19 octobre 1996 concernant la compétence, la loi applicable, la reconnaissance, l’exécution et la coopération en matière de responsabilité parentale et de mesures de protection des enfants ; RS 0.211.231.011). 19J005</w:t>
      </w:r>
    </w:p>
    <w:p>
      <w:r>
        <w:t>- 7 -</w:t>
      </w:r>
    </w:p>
    <w:p>
      <w:r>
        <w:rPr>
          <w:b/>
        </w:rPr>
        <w:t>E. 2.2</w:t>
      </w:r>
    </w:p>
    <w:p>
      <w:r>
        <w:t>En présence d’un élément d’extranéité, la compétence des autorités judiciaires et administratives suisses est régie par la LDIP (loi fédérale sur le droit international privé du 18 décembre 1987 ; RS 291), sous réserve des traités internationaux (cf. art. 1 al. 2 LDIP). La France – pays dans lequel l’intimée a fixé son domicile et le lieu de résidence de l’enfant – et la Suisse sont toutes deux parties à la CLaH96.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5A_933/2020 du 14 avril 2021 consid. 1.1 ; TF 5A_21/2019 du 1er juillet 2019 consid. 5.1 et les réf. citées). Il s’ensuit que, dans les relations entre États contractants, le changement (licite) de résidence habituelle du mineur entraîne un changement simultané de la compétence (TF 5A_933/2020 loc. cit. ; TF 5A_21/2019 loc. cit.). Cela étant, dans l’hypothèse d’un déplacement illicite – défini à l’art. 7 al. 2 CLaH96 dans les mêmes termes qu’à l’art. 3 de la Convention de La Haye du 25 octobre 1980 sur les aspects civils de l’enlèvement inter­national d’enfants (CLaH80 ; RS 0.211.230.02) –, l’autorité de l’ancienne résidence habituelle conserve sa compétence pour prendre des mesures jusqu’au moment où l’enfant a acquis une résidence habituelle dans un autre État et que, de surcroît, l’on ne peut plus s’attendre raisonnablement à un retour de l’enfant (TF 5A_933/2020 loc. cit. ; TF 5A_21/2019 loc. cit.), seconde condition que l’art. 7 al. 1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19J005</w:t>
      </w:r>
    </w:p>
    <w:p>
      <w:r>
        <w:t>- 8 - cette période n’est encore en cours d’examen et que l’enfant s’est intégré dans son nouveau milieu.</w:t>
      </w:r>
    </w:p>
    <w:p>
      <w:r>
        <w:rPr>
          <w:b/>
        </w:rPr>
        <w:t>E. 2.3</w:t>
      </w:r>
    </w:p>
    <w:p>
      <w:r>
        <w:t>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 art. 5 let. a CLaH80). Pour déterminer le ou les parent(s) titulaire(s) du droit de garde, il y a lieu de se référer à l’ordre juridique de l’État de la résidence habituelle de l’enfant immédiatement avant le déplacement (TF 5A_21/2019 précité consid. 5.2 et les réf. citées). Ce moment est également déterminant pour juger de l’illicéité du déplacement (TF 5A_21/2019 loc. cit. et les réf. citées). En droit suisse, le droit de déterminer le lieu de résidence de l’enfant est rattaché à l’autorité parentale (art. 301a al. 1 CC ; ATF 144 III 10 consid. 4 ; ATF 142 III 481 consid. 2.3). Le parent qui exerce seul l’autorité parentale peut donc déménager à l’étranger avec l’enfant sans l’accord de l’autre parent (cf. art. 301a al. 2 let. a CC ; ATF 144 III 10 consid.</w:t>
      </w:r>
    </w:p>
    <w:p>
      <w:r>
        <w:rPr>
          <w:b/>
        </w:rPr>
        <w:t>E. 2.4</w:t>
      </w:r>
    </w:p>
    <w:p>
      <w:r>
        <w:t>En l’occurrence, l’appelant ne conteste pas que l’intimée a quitté la Suisse avec l’enfant D.________ pour s’établir à l’étranger (cf. appel, ch. 5). Ce fait est du reste établi par un courriel que l’intimée a elle-même adressé à G.________, responsable du mandat d’évaluation à l’UEMS, le 7 novembre 2025. Or, l’intimée dispose de l’autorité parentale exclusive et, à ce titre, du droit de déterminer seule le lieu de résidence de l’enfant. Il ne 19J005</w:t>
      </w:r>
    </w:p>
    <w:p>
      <w:r>
        <w:t>- 9 - ressort en effet pas de la reconnaissance de paternité que les parties se sont mises d’accord sur une autorité parentale conjointe. Aussi, depuis la naissance de l’enfant, l’intimée est seule détentrice de l’autorité parentale. Certes, l’art. 301a al. 3 CC obligeait l’intimée à informer l’appelant « en temps utile » de son déménagement. La violation de ce devoir d’information n’entraîne toutefois aucune conséquence juridique (cf. Schwenzer et Cottier, BSK-ZGB I, Bâle, 7e éd., 2022, n. 20 ad art. 301a, p. 1896). Partant, en déplaçant le lieu de résidence de l’enfant, l’intimée n’a pas commis un déplacement illicite de l’enfant au sens de l’art. 7 CLaH96. Il s’ensuit que le déménagement de l’intimée et de l’enfant à l’étranger a, conformément à l’art. 5 al. 2 CLaH96, valablement mis fin à la compétence des autorités suisses pour se prononcer sur les conclusions litigieuses des parties qui entrent dans le champ d’application de cette convention, soit celles visées à l’art. 3 CLaH96. L’appel doit par conséquent être rejeté. Par ailleurs, l’appelant a conclu au rejet des conclusions de l’intimée en paiement de contribution d’entretien en faveur de l’enfant. Sur ce point, la décision attaquée ne lui cause aucun préjudice et, dans cette mesure, l’appel est irrecevable (art. 59 CPC). 3. Vu ce qui précède, l’appel doit être rejeté, dans la mesure de sa recevabilité, et la décision entreprise confirmée. Il y a lieu également de rejeter la requête d’assistance judiciaire formulée par l’appelant, étant manifeste que l’appel ne pouvait pas aboutir dès lors que l’appelant ne dispose pas de l’autorité parentale. Les frais judiciaires de deuxième instance, arrêtés à 600 fr. (art. 63 al. 1 TFJC [tarif des frais judiciaires civils du 28 septembre 2010 ; BLV 270.11.5]), sont mis à la charge de l’appelant, qui succombe (art. 106 al. 1 CPC). 19J005</w:t>
      </w:r>
    </w:p>
    <w:p>
      <w:r>
        <w:t>- 10 - L’intimée, qui n’a pas été invitée à déposer une réponse, n’a pas droit à des dépens. Par ces motifs, le Juge unique de la Cour d’appel civile prononce : I. L’appel est rejeté, dans la mesure de sa recevabilité. II. La décision du 15 mai (recte : janvier) 2026 est confirmée. III. La requête d’assistance judicaire est rejetée. IV. Les frais judiciaires de deuxième instance, arrêtés à 600 fr. (six cents francs), sont mis à la charge de l’appelant B.________. V. Il n’est pas alloué de dépens. VI. L’arrêt est exécutoire. Le juge unique : La greffière : Du Le présent arrêt, dont la rédaction a été approuvée à huis clos, est notifié à : - Me Kathrin Gruber (pour B.________), - Me Sébastien Pedroli (pour C.________), 19J005</w:t>
      </w:r>
    </w:p>
    <w:p>
      <w:r>
        <w:t>- 11 -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r>
        <w:rPr>
          <w:b/>
        </w:rPr>
        <w:t>E. 4</w:t>
      </w:r>
    </w:p>
    <w:p>
      <w:r>
        <w:t>a contrario), sous réserve toutefois de l’abus de droit (ATF 136 III 353 consid. 3 ; TF 5A_281/2020 du 27 avril 2021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