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JI23.051609 vom 17. Juli 2025</w:t>
      </w:r>
    </w:p>
    <w:p>
      <w:r>
        <w:t>VD Tribunal cantonal, 2025-07-17, FR</w:t>
      </w:r>
    </w:p>
    <w:p>
      <w:r>
        <w:rPr>
          <w:b/>
        </w:rPr>
        <w:t xml:space="preserve">Quelle: </w:t>
      </w:r>
      <w:r>
        <w:t>https://mcp.opencaselaw.ch/entscheid/vd_gerichte_JI23.051609</w:t>
      </w:r>
    </w:p>
    <w:p>
      <w:r>
        <w:t>FR: VD_GERICHTE JI23.051609 du 17 juillet 2025</w:t>
      </w:r>
    </w:p>
    <w:p>
      <w:r>
        <w:t>IT: VD_GERICHTE JI23.051609 del 17 luglio 2025</w:t>
      </w:r>
    </w:p>
    <w:p>
      <w:pPr>
        <w:pStyle w:val="Heading2"/>
      </w:pPr>
      <w:r>
        <w:t>Erwägungen</w:t>
      </w:r>
    </w:p>
    <w:p>
      <w:r>
        <w:rPr>
          <w:b/>
        </w:rPr>
        <w:t>E. 10</w:t>
      </w:r>
    </w:p>
    <w:p>
      <w:r>
        <w:t>décembre 1907 ; RS 210) ou de l'art. 29 al. 2 Cst., n'excluent pas l'appréciation anticipée des preuves (ATF 138 III 374 consid. 4.3.1 et réf. cit.). 1.4.2 En l’espèce, l’intimée a requis la production par l’appelant de tous documents établissant l’entier des mouvements intervenus sur les comptes bancaires et/ou postaux et/ou de carte de crédit détenus en tout ou partie, en Suisse et/ou à l’étranger, à quelque titre que ce soit, par celui-ci pour la période du 1er janvier 2024 (extraits détaillés de comptes</w:t>
      </w:r>
    </w:p>
    <w:p>
      <w:r>
        <w:t>- 8 - avec indication de chaque opération et évolution du solde), ainsi que tous documents établissant le type de véhicule utilisé par l’appelant. Au vu de ce qui suit, la production de ces pièces n’est pas utile. 2. 2.1 L’appelant soutient qu'il est en incapacité totale de travail. Il produit des certificats médicaux émanant du Dr [...] (cf. pièce 1) – documents pour partie déjà produits en première instance mais illisibles – sur lesquels le Dr [...] a attesté une incapacité de travail de l’appelant pour les périodes du 23 mai 2024 au 11 décembre 2024. 2.2 2.2.1 Selon l'art. 286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 2.2.2 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w:t>
      </w:r>
    </w:p>
    <w:p>
      <w:r>
        <w:t>- 9 - constitue une mesure d'exécution anticipée dont le sort sera réglé dans le jugement de modification au fond (ATF 130 I 347 consid. 3.2). Cette qualification ne change pas lorsque les mesures requises sont refusées (ATF 137 III 324 consid. 1.1 ; TF 5A_222/2014 du 17 septembre 2014 consid. 1.1 ; TF 5A_475/2015 du 17 décembre 2015 consid. 1.4) et est également valable dans le cadre d'une procédure en modification d'une contribution d'entretien de l'enfant fixée par convention homologuée ou ratifiée d'entente entre les parents non mariés de l'enfant (TF 5A_615/2019 du 23 décembre 2019 consid. 1.2 ; TF 5A_674/2019 du 27 avril 2020 consid. 1.2 ; Juge unique CACI 8 septembre 2023/361 consid. 3.2.3). Après l'ouverture d’un procès en modification d'un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5A_739/2023 du 26 mars 2024 consid. 5.1.2 ; 5A_274/2016 du 26 août 2016 consid. 4.1; 5A_641/2015 du 3 mars 2016 consid. 4.1 avec les références ; TF 5A_732/2012 du 4 décembre 2012 consid. 3.2). Des mesures provisionnelles ne pourront en outre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que subirait le créancier d'entretien en cas d'octroi des mesures provisionnelles sollicitées (Juge délégué CACI 27 septembre 2012/444 ; Juge délégué CACI</w:t>
      </w:r>
    </w:p>
    <w:p>
      <w:r>
        <w:rPr>
          <w:b/>
        </w:rPr>
        <w:t>E. 14</w:t>
      </w:r>
    </w:p>
    <w:p>
      <w:r>
        <w:t>août 2017/352). Selon de Luze, Page et Stoudmann, une réduction de la contribution d’entretien de l’enfant n'est pas admissible du seul fait que le débirentier subit une atteinte à son minimum vital, car cette éventuelle</w:t>
      </w:r>
    </w:p>
    <w:p>
      <w:r>
        <w:t>- 10 - atteinte ne revêtirait qu'un caractère provisoire (Droit de la famille, Lausanne 2013, n. 1.16 ad art. 286 CC ; cf. CREC 7 octobre 2014/349). Ces auteurs, citant la même référence – à savoir un arrêt soleurois du 13 avril 2007 (cf. FAMPra 2009, p. 777) –, affirment également que des mesures provisionnelles afin de faire modifier la réglementation concernant les enfants ne peuvent être ordonnées que si elles sont dans l’intérêt de l’enfant (loc. cit.), ce qui exclurait une réduction de la contribution d’entretien par voie de mesures provisionnelles. Cela est sans doute aller trop loin. On ne voit pas pour quelle raison une telle réduction serait exclue par principe (Juge unique CACI 6 avril 2018/205 ; Juge unique CACI 4 octobre 2019/532 ; contra Juge unique CACI 25 juillet 2018/435).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11 juin 2018/344 ; Juge unique CACI 10 mars 2022/123). Des mesures provisionnelles sont par exemple envisageables lorsque, en raison de sa situation financière précaire, il est urgent pour le débiteur d'entretien de ne plus devoir payer, déjà pendant la procédure en réduction, les contributions à hauteur du montant fixé jusqu'alors (ATF 118 II 228 consid. 3b ; TF 5A_641/2015 précité consid. 4.1 ; TF 5A_732/2012 précité consid. 3.2 ; TC FR 101 2020 473 du 23 juin 2021 consid. 2.1 ; Juge unique CACI 8 septembre 2023/361 consid. 3.2.2 ; Juge unique CACI 3 mai 2022/239). Les exigences posées pour admettre qu'une pension fixée par un jugement définitif et exécutoire de divorce en faveur d'enfants mineurs soit modifiée par voie de mesures provisionnelles sont applicables également dans le cas d'un jugement fixant une contribution envers des enfants de parents non mariés (TF 5A_263/2023 du 27 novembre 2024 consid. 5.1.4 ; TF 5A_354/2023 du 29 août 2024 consid. 4.1 ; Juge unique CACI 8 septembre 2023/361 consid. 3.2.3). 2.2.3 Le Tribunal fédéral considère que, s’agissant de pourvoir à l’entretien d’enfants mineurs, les exigences à l’égard des père et mère</w:t>
      </w:r>
    </w:p>
    <w:p>
      <w:r>
        <w:t>- 11 - sont particulièrement élevées, de sorte que ceux-ci doivent réellement épuiser leur capacité maximale de travail (Stoudmann, Le divorce en pratique, 3e éd., Lausanne 2025, p. 71 et réf. cit.). Cela implique qu’il peut également être tenu compte des possibilités de gain qui n’exigent pas de formation professionnelle et se trouvent dans la tranche des bas salaires (Stoudmann, op. cit., p. 85). Par ailleurs, un départ à l’étranger (en soi admissible) peut ne pas être pris en compte si une autre activité professionnelle en Suisse pouvait être raisonnablement exigée (cf. TF 5A_476/2021 du 20 avril 2022 consid. 3.3.2 ; TF 5A_899/2019 du 17 juin 2020 consid. 2.2.2 ; TF 5A_513/2012 du 17 octobre 2012 consid. 4, in : FamPra.ch 2013 p. 236 ; cf. aussi ATF 147 III 265 consid. 7.4). 2.2.4 2.2.4.1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2.2.4.2 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w:t>
      </w:r>
    </w:p>
    <w:p>
      <w:r>
        <w:t>- 12 - Toutefois, toute incapacité de travail, même médicalement attestée, ne donne pas encore droit à une rente d'assurance-invalidité (TF 5A 455/2019 du 23 juin 2020 consid. 5.4.1). Une incapacité de travail durable, telle qu'attestée par des certificats médicaux, peut, selon les circonstances, suffire à admettre que l'intéressé ne peut pas trouver un emploi, même si l'office de l'assurance- 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loc. cit.). En ce qui concerne les rapports établis par un médecin traitant, le juge doit prendre en considération le fait que ce médecin peut être enclin, en cas de doute, à prendre parti pour son patient en raison de la relation de confiance nouée avec ce dernier (not.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L’absence de prestations de l’assurance-invalidité constitue un indice que l’intéressé conserve une capacité de gain résiduelle (TF 5A_248/2011 du 14 novembre 2011 consid.4.3, in FamPra.ch. 2012 p. 500). Il en va de même de l'absence d'une demande de prestations de l'assurance-invalidité (TF 5A_522/2011 du 18 janvier 2012 consid. 4.3 ; TF 5A_251/2016 du 15 août 2016 consid. 2.3.1).</w:t>
      </w:r>
    </w:p>
    <w:p>
      <w:r>
        <w:t>- 13 - Du point de vue procédural, le certificat médical constitue une allégation de partie, à l'instar d'une expertise privée (TF 4A_243/2017 du 30 juin 2017 consid. 3.1.3 et réf. cit.). Si elle est contestée de manière motivée par la partie adverse, l'expertise privée à elle seule ne saurait être probante. Elle peut cependant l'être pour autant qu'elle soit corroborée par des indices qui, eux, sont établis par des moyens de preuve (ATF 141 III 433 consid. 2.6 ; TF 5A_489/2019 du 24 août 2020 consid. 16.1). Il incombe à l’époux concerné d’établir sa propre capacité contributive, respectivement de prouver qu’il ne lui serait pas possible de réaliser le revenu hypothétique dont il conteste l’imputation (TF 5A_534/2021 consid. 4.3.2.1 ; TF 5A_7/2021 du 2 septembre 2021, consid. 4.3). 2.3 2.3.1 En l’espèce, la présidente a notamment retenu que X.________ était très régulièrement suivi par le Dr [...] pour une pathologie bipolaire, selon un certificat établi le 13 avril 2023, qu’il recevait un traitement et que son comportement était totalement adapté ; selon un second certificat non daté du Dr [...], le syndrome bipolaire X.________ était traité avec un régulateur de l'humeur, si bien qu'il n'était empreint d'aucune idée délirante ni humeur exaltée. Enfin, il ressortait d'une décision rendue le 13 septembre 2023 par la Commission [...] des droits de l'autonomie des personnes handicapées ([...]) qu'il était reconnu au susnommé la qualité de travailleur handicapé du 6 septembre 2023 au 28 février 2025, ce qui signifiait que son état entraînait des difficultés pour obtenir ou conserver un emploi. Il était précisé que cette reconnaissance permettait de bénéficier d'un soutien pour accéder à l’emploi ou pour se maintenir dans l’emploi actuel. Selon une autre décision rendue le même jour par la même commission, il était précisé qu'il était reconnu à l’intéressé des difficultés entraînant une gêne notable dans sa vie sociale mais que son autonomie était conservée pour les actes élémentaires de la vie quotidienne, ce qui correspondait à un taux d'incapacité égal ou supérieur à 50 % et inférieur à 80 %, ces difficultés ayant des répercussions dans son insertion professionnelle. La Commission lui reconnaissait dès lors une</w:t>
      </w:r>
    </w:p>
    <w:p>
      <w:r>
        <w:t>- 14 - restriction substantielle et durable pour l'accès à l’emploi liée à sa situation de handicap. La présidente a retenu que l’hospitalisation du 21 au 31 janvier 2023 était établie. En revanche, l'état de santé de l’appelant paraissait stabilisé, et aucun élément au dossier n'indiquait qu'il était incapable de travailler. La décision lui allouant l'allocation pour adultes handicapés précisait que son autonomie était maintenue et qu'il existait des répercussions sur son insertion professionnelle, mais ne lui reconnaissait pas une incapacité totale de travailler. Il en allait de même de la qualité de travailleur handicapé, qui permettait à la personne concernée de se prévaloir de difficultés à garder ou à trouver un emploi, mais qui ne signifiait pas une incapacité de travailler. A cela s'ajoutait que l'allocation d'aides par la [...] ([...]) se faisait sur formulaire remplie par la personne concernée, qui devait joindre un certificat médical ; aucune expertise n'était mise en œuvre. La présidente a également relevé un comportement contradictoire de l’appelant, qui n'avait, malgré qu'il en était enjoint par son employeur, pas demandé de prestations à l'assurance-invalidité suisse, alors même qu'il se prévalait d'une incapacité de travailler. 2.3.2 Les certificats produits en appel émanent du Dr [...], qui exerce au Centre Hospitalier de [...]. Le premier de ces certificats, daté du 22 avril 2024 (cf. pièce 1), atteste des arrêts de travail à 100 %, ordonnés par divers médecins, pour plusieurs périodes qui totalisent ensemble la période du 3 février 2023 au 23 Mai 2024. Il y est précisé que l'arrêt de travail du 13 avril 2023 au 23 mai 2024, prescrit par le Dr [...], l'a été pour trouble bipolaire en phase dépressive sévère. Il y est aussi indiqué que l'intéressé est en affection de longue durée (ALD) pour pathologie bipolaire demandée par son médecin traitant, le Dr[...], depuis février 2023. Les autres certificats produits sous pièce 1 ne sont absolument pas détaillés. Il s'agit de simples formulaires, sur lesquels le Dr [...] a attesté une incapacité de travail pour les périodes du 23 mai 2024 au 11 décembre 2024. La question est celle de savoir si ces attestations sont de nature à renverser l'appréciation de la présidente.</w:t>
      </w:r>
    </w:p>
    <w:p>
      <w:r>
        <w:t>- 15 - Comme le relève l'intimée, ces certificats ne constituent pas une expertise. Ils émanent apparemment d'un des médecins traitants de l’appelant – même si un médecin traitant, le Dr [...], a adressé le patient à un autre médecin traitant. Le certificat du 22 avril 2024 fait bien état d'une cause à l'arrêt de travail, mais n'est guère détaillé. A cela s'ajoute que l'on peut concevoir quelques doutes du fait que le médecin, selon son attestation, a prescrit un arrêt de travail du 13 avril 2023 au 23 mai 2024, soit pour plus d'un an. On remarquera également que la décision du 13 septembre 2023 de la [...] reconnaissait à l'intéressé des difficultés pour obtenir ou conserver un emploi, du 6 septembre 2023 au 28 février 2025. Ceci s'accorde mal avec une véritable incapacité. De même, dans un autre certificat du 26 juillet 2023 (cf. pièce 9), le Dr [...] indiquait que l’intéressé était « tout à fait stabilisé ». On ne saurait en principe exiger, en matière de mesures provisionnelles, une véritable expertise. Mais il faut également prendre en considération que, comme on l'a vu, lorsqu'il s'agit de réduire par mesures provisionnelles une contribution d'entretien en faveur d'un enfant qui a été fixée par un jugement au fond, on doit se montrer particulièrement restrictif. Cela étant rappelé, les documents produits ne suffisent pas à établir que l'intéressé serait réellement dans l'incapacité de travailler. Mal fondé, ce grief doit être rejeté. 3. 3.1 L'appelant fait ensuite valoir que son revenu serait actuellement de 1'016.05 euros par mois, sur la base d’une attestation de prestations de la Caisse d'Allocations Familiales pour la période d’avril à novembre 2024, produite en appel (cf. pièce 7). 3.2 La présidente a retenu que l’appelant, après avoir allégué qu'il ne recevait qu'un revenu de solidarité active [...] ([...]) de 534.82 euros par mois, avait admis en audience qu'il percevait une allocation aux</w:t>
      </w:r>
    </w:p>
    <w:p>
      <w:r>
        <w:t>- 16 - adultes handicapés de 971.37 euros et un [...] de 356.55 euros par mois. Il ressortait toutefois du dossier qu'il avait perçu 2'580 fr. 75 pour janvier 2023 de son ancien employeur. Il ressortait d'une attestation établie le 1er avril 2024 par la Caisse d'Allocations Familiales [...] ([...]) des montant différents de ceux qui avaient été allégués, et l’appelant avait encore encaissé divers montants inexpliqués, pour lesquels il avait donné des explications qui n'étaient pas établies, soit : 288.88 euros en mai 2023, 1'724.30 euros en juin 2023, 534.82 euros mensuels de juillet à octobre 2023, 3'787.22 euros en novembre 2023 et 1'327.92 euros mensuels de janvier à mars 2024. Des relevés bancaires produits par l’appelant, il résultait de plus que les versements de la [...] suivants étaient intervenus : 1'327.92 euros le 5 avril 2024 et 1'016.05 euros le 6 mai 2024. En définitive, la présidente a retenu que la situation financière de l’appelant était opaque, mais qu'il percevait au minimum 1'327.92 euros par mois. 3.3 Au vu des incohérences relevées à juste titre par la présidente, c’est à bon droit que celle-ci a constaté qu’il résidait une certaine opacité autour des revenus perçus par l’appelant. La pièce produite en appel susmentionnée (une attestation de paiement d’une prestation de la Caisse d’Allocations familiales) ne suffit pas à renverser cette appréciation. Mal fondé, ce grief doit être rejeté. 4. 4.1 Selon l’appelant, il y aurait lieu de retenir dans ses charges l'équivalent de 235 fr. de frais de logement (250 euros) et 613 fr. de frais d'essence pour l'exercice de son droit de visite, qu'il exercerait deux fois par mois. Il en résulterait que ses charges seraient de 1'358 fr. par mois. 4.2 4.2.1 Pour arrêter les contributions en droit de la famille, il y a lieu de se fonder sur la méthode en deux étapes avec répartition de l’excédent, sauf situations très particulières dans lesquelles son application ne ferait aucun sens, comme le cas de situations financières</w:t>
      </w:r>
    </w:p>
    <w:p>
      <w:r>
        <w:t>- 17 - exceptionnellement favorables (ATF 147 III 301 consid. 4.3 ; ATF 147 III 293 consid. 4.5 in fine ; ATF 147 III 265 consid. 6.6 in fine ; SJ 2021 I 316). 4.2.2 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Ce minimum vital se compose d’un montant de base, de 1200 fr. pour un adulte vivant seul, qui comprend les frais pour l’alimentation, les vêtements et le linge, les soins corporels et de santé, l’eau, l’éclairage, le courant électrique ou le gaz, etc. (Lignes directrices ; ATF 137 III 59 consid. 4.2.2). Les frais de repas pris hors domicile peuvent être pris en compte à raison de 9 à 11 fr. par jour (Lignes directrices ; Juge unique CACI 28 février 2025/107). 4.2.3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18 juin 2023/256 consid. 4.3.2 ; TC FR 101 2022 223 du 9 janvier 2023). Par ailleurs, les revenus et charges des parties vont inévitablement évoluer, de sorte que le juge ne doit pas se livrer à un calcul de la pension au franc près, voire au centime près (Juge unique CACI 18 juin 2023/256 consid. 4.3.2 ; TC FR 101 2022 365 du 30 janvier 2023).</w:t>
      </w:r>
    </w:p>
    <w:p>
      <w:r>
        <w:t>- 18 - Lorsque les moyens sont limités, il convient de s’en tenir à ces charges, qui constituent le minimum vital LP (cf. ATF 147 III 265 précité consid. 7.2). 4.3 En l’espèce, la présidente a retenu que les charges de l’appelant, établies selon le minimum vital de la LP, étaient de 610 fr. par mois, soit un montant de base de 510 fr. (celui d'un adulte vivant en colocation, réduit de 40 % du fait que l'intéressé vit en [...]) et 100 fr. par mois pour de l'essence, compte tenu de son droit de visite, d'ailleurs réduit à un droit médiatisé une fois par mois. La présidente a en effet considéré qu'il n'était pas établi que l’appelant versait régulièrement le loyer prétendu de 250 euros par mois à ses parents, et que la convention qu'il avait produite apparaissait avoir été établie pour les besoins de la procédure. De ce qui précède, il résultait que l’appelant disposait d'un disponible de 610 fr. (1'300 euros, soit environ 1'220 fr., moins 610 fr. de charges) et pouvait continuer à assumer la pension de 600 fr. par mois en moyenne en faveur de sa fille. 4.4 Il ressort des pièces produites en deuxième instance qu'entre juin et décembre 2024 l’appelant a effectivement versé 250 euros chaque mois à son père. Comme le relève l'intimée dans sa réponse, toutefois, il ressort des déclarations de l’appelant lors de l'audience du 19 juin 2024 que ce montant est versé non seulement pour le loyer mais également pour l'ensemble de ses frais, l'intéressé étant « nourri, logé et blanchi » (cf. procès-verbal de l'audience, p. 2). Ce montant devrait donc plutôt concerner le montant des frais de base qui lui a été reconnu, de 510 fr. par mois. En ce qui concerne les déplacements, l’appelant a, lors de la même audience, indiqué qu'il utilisait le véhicule familial (c’est-à-dire de ses parents) et payait l'essence. Il ne saurait donc être question de retenir 70 centimes par kilomètre parcouru comme il le prétend. Selon la pièce produite en deuxième instance, le trajet représente 219 kilomètres. A raison de deux aller-retours par mois (l'intimée admet dans sa réponse que l’appelant exerce son droit de visite deux fois par mois), cela fait 876 kilomètres. En tenant compte de huit litres aux cent kilomètres, cela fait à peu près 70 litres, qu’il y a lieu de décompter à 140 francs. Partant, il</w:t>
      </w:r>
    </w:p>
    <w:p>
      <w:r>
        <w:t>- 19 - conviendrait donc de retenir 40 fr. de plus que ne l’a fait la présidente, ce qui laisserait un disponible de 570 fr. par mois à l’appelant. Il ne se justifie pas de réduire par mesures provisionnelles la contribution d'entretien pour une différence aussi modeste. Le grief doit également être rejeté, car mal fondé. 5. Comme examiné ci-avant, l’appelant ne travaille pas et n'établit pas qu'il est réellement incapable de travailler. Il y a ainsi lieu à ce stade de lui imputer un revenu et des charges hypothétiques. Il était certes loisible à l'intéressé de s'établir en [...], mais on peut faire abstraction de ce fait dès lors qu’une activité professionnelle en Suisse pouvait être raisonnablement exigée (cf. TF 5A_476/2021 du 20 avril 2022 consid. 3.3.2). L'appelant réalisait en Suisse un revenu mensuel net de 3'900 fr., part au 13e salaire comprise et impôt à la source déduit, pour son activité auprès de la [...]. Il y a ainsi lieu d’imputer à l’appelant un revenu hypothétique du même montant, rien au dossier n’indiquant qu’il ne serait plus en mesure d’exercer une telle activité. Les charges de l’appelant peuvent être arrêtées comme il suit : Minimum vital : 1'200 fr. Loyer : 1'300 fr. LAMal (./. subsides) : 370 fr. Frais de repas (11 fr. x 21.7 jours) : 238 fr. 70 Frais de déplacement (transports publics) : 74 fr. TOTAL 3'182 fr. 70 Il est précisé que les primes d’assurance maladie susmentionnées ont été estimées à 400 fr., et les subsides à 30 fr. via le</w:t>
      </w:r>
    </w:p>
    <w:p>
      <w:r>
        <w:t>- 20 - calculateur de l’Etat de Vaud (https://prestations.vd.ch/pub/samoa/001489). Par conséquent, le disponible de l’appelant s’élève à 717 fr. 30 (3'900 fr. [3'600 fr. x 13 / 12] – 3'182 fr. 70). L’intéressé est donc en mesure de contribuer à l’entretien de sa fille à raison de 600 fr. par mois. Il n’y a ainsi pas matière, au stade des mesures provisionnelles, à réduire la pension mise à la charge de l’appelant, étant précisé que la situation financière de l’appelant est sensiblement la même que celle qui était la sienne le jour de la signature de la convention, le 28 novembre 2020. 6. Par requête du 16 décembre 2024, l’appelant a requis l’octroi de l’assistance judicaire en deuxième instance. Les conditions de l’art. 117 CPC étant remplies, le bénéfice de l’assistance judiciaire doit être accordé à l’appelant pour la procédure d’appel, Me David Moinat étant désigné en qualité de conseil d’office, avec effet au 16 décembre 2024. Me David Moinat sera toutefois relevé de son mandat avec effet au 7 janvier 2025, au vu du courrier adressé à cette même date par Me Salomé Bernasconi. La susnommée sera ainsi désignée en qualité de conseil d’office de l’appelant avec effet au 7 janvier 2025, celle-ci ne requérant pas une autre date d’octroi. 7. 7.1 En définitive, l’appel doit être rejeté et le jugement attaqué confirmé. 7.2 Les frais judiciaires de deuxième instance sont arrêtés à 600 fr. (art. 65 al. 2 TFJC [tarif des frais judiciaires civils du 28 septembre 2010 ; BLV 270.11.5]) et seront mis à la charge de l’appelant, qui succombe</w:t>
      </w:r>
    </w:p>
    <w:p>
      <w:r>
        <w:t>- 21 - (art. 106 al. 1 CPC), et laissés provisoirement à la charge de l’Etat (art. 122 al. 1 let. b CPC). L’appelant versera en outre à l’intimée la somme de 2’000 fr. à titre de dépens de deuxième instance (art. 3 al. 2, 7, 19 al. 2 et 20 al. 2 TDC [tarif des dépens en matière civile du 23 novembre 2010 ; BLV 270.11.6]). 7.3 7.3.1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et de 110 fr. pour un avocat stagiaire (art. 2 al. 1 let. b RAJ). 7.3.2 7.3.2.1 En l’espèce, Me David Moinat a indiqué avoir consacré 6 heures et 4 minutes à la cause. Vu la nature du litige et les difficultés de la cause, il y a lieu d’admettre ce nombre d’heures. Il s’ensuit qu’au tarif horaire de 180 fr., l’indemnité de Me David Moinat doit être fixée à 1'090 fr. (6.06 h x 180 fr.), montant auquel il convient d’ajouter des débours par 21 fr. 80 (2 % x 1’090 fr., art. 3bis al. 1 RAJ), ainsi que la TVA à 8.1 % sur l’ensemble, soit 90 fr. 05 (8.1 % x 1'111 fr. 80), pour un total de 1'201 fr. 85. 7.3.2.2 Me Salomé Bernasconi a indiqué dans sa liste des opérations avoir consacré 8 heures de travail au dossier. Il y a lieu de retrancher l’intégralités des opérations annoncées par le conseil susnommé jusqu’au 6 janvier 2025, celles-ci n’étant pas couvertes par l’assistance judiciaire. Il est constaté à ce sujet que Me Salomé Bernasconi a annoncé une durée de 4 h 30 le 16 décembre 2024 pour la rédaction de l’appel alors que seul</w:t>
      </w:r>
    </w:p>
    <w:p>
      <w:r>
        <w:t>- 22 - l’acte d’appel rédigé par le précédent conseil de l’appelant, Me David Moinat, figure au dossier, cette opération ayant déjà été prise en considération supra ch. 7.3.2.1. L’appelant ne saurait bénéficier simultanément de deux conseils d’office pour la présente cause. En définitive, le temps consacré à la cause par le conseil d’office doit être arrêté à 1 heure et 48 minutes. Il s’ensuit qu’au tarif horaire de 180 fr., l’indemnité de Me Salomé Bernasconi doit être fixée à 324 fr. (1 h 48 x 180 fr.), montant auquel il convient d’ajouter des débours par 6 fr. 50 (2 % x 324 fr., art. 3bis al. 1 RAJ), ainsi que la TVA à 8.1 % sur l’ensemble, soit 26 fr. 75 (8.1 % x 330 fr. 50), pour un total de 357 fr. 25. 7.3.3 Le bénéficiaire de l’assistance judiciaire remboursera les frais judiciaires de deuxième instance et l’indemnité allouée à ses conseils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La requête d'assistance judiciaire de l'appelant X.________ pour la procédure d'appel est admise, Me David Moinat étant désigné en qualité de conseil d'office, avec effet au 16 décembre 2025.</w:t>
      </w:r>
    </w:p>
    <w:p>
      <w:r>
        <w:t>- 23 - IV. Les frais judiciaires de deuxième instance, arrêtés à 600 fr. (six cents francs), sont mis à la charge de l’appelant X.________, mais supportés provisoirement par l’Etat. V. L’appelant X.________ doit verser à l’intimé la somme de 2’000 fr. (deux mille francs) à titre de dépens de deuxième instance. VI. L’indemnité de conseil d’office de Me David Moinat, conseil de l’appelant X.________, est arrêtée à 1'201 fr. 85 (mille deux cent un francs et huitante-cinq centimes), TVA et débours compris. VII. Me David Moinat est relevé de sa mission de conseil d’office de l’appelant X.________, avec effet au 7 janvier 2025. VIII. Me Salomé Bernasconi est désignée comme nouveau conseil d'office de l’appelant X.________, avec effet au 7 janvier 2025. IX. L’indemnité de conseil d’office de Me Salomé Bernasconi, conseil de l’appelant X.________, est arrêtée à 357 fr. 25 (trois cent cinquante-sept francs et vingt-cinq centimes), TVA et débours compris. X. Le bénéficiaire de l’assistance judiciaire est tenu au remboursement des frais judiciaires et de l’indemnité allouée à ses conseils d’office mis provisoirement à la charge de l’Etat, dès qu’il sera en mesure de le faire. XI. L’arrêt est exécutoire. Le juge unique : Le greffier :</w:t>
      </w:r>
    </w:p>
    <w:p>
      <w:r>
        <w:t>- 24 - Du Le présent arrêt, dont la rédaction a été approuvée à huis clos, est notifié en expédition complète à : - Me Salomé Bernasconi (pour X.________) - Me Matthieu Genillod (pour S.________) - Me David Moinat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