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JI23.015578 vom 14. Juni 2024</w:t>
      </w:r>
    </w:p>
    <w:p>
      <w:r>
        <w:t>VD Tribunal cantonal, 2024-06-14, FR</w:t>
      </w:r>
    </w:p>
    <w:p>
      <w:r>
        <w:rPr>
          <w:b/>
        </w:rPr>
        <w:t xml:space="preserve">Quelle: </w:t>
      </w:r>
      <w:r>
        <w:t>https://mcp.opencaselaw.ch/entscheid/vd_gerichte_JI23.015578</w:t>
      </w:r>
    </w:p>
    <w:p>
      <w:r>
        <w:t>FR: VD_GERICHTE JI23.015578 du 14 juin 2024</w:t>
      </w:r>
    </w:p>
    <w:p>
      <w:r>
        <w:t>IT: VD_GERICHTE JI23.015578 del 14 giugno 2024</w:t>
      </w:r>
    </w:p>
    <w:p>
      <w:pPr>
        <w:pStyle w:val="Heading2"/>
      </w:pPr>
      <w:r>
        <w:t>Erwägungen</w:t>
      </w:r>
    </w:p>
    <w:p>
      <w:r>
        <w:rPr>
          <w:b/>
        </w:rPr>
        <w:t>E. 3</w:t>
      </w:r>
    </w:p>
    <w:p>
      <w:r>
        <w:t>; TF 5A_395/2020 précité consid. 2 ; TF 5A_1016/2015 du 15 septembre 2016 consid. 5.3 ; TF 5A_426/2015 du 8 octobre 2015 consid. 3.4 ; TF 5A_932/2014 du 16 avril 2015 consid. 3.3.2 ; CACI 15 mai 2021/232 consid. 3.1.3, in : JdT 2021 III 107 ; Schmid, Basler Kommentar, 6ème éd., 2019, n. 16 ad art. 961 CC ; Steinauer, Les droits réels, Tome III, 2012, n. 2897 et réf. cit.).</w:t>
      </w:r>
    </w:p>
    <w:p>
      <w:r>
        <w:rPr>
          <w:b/>
        </w:rPr>
        <w:t>E. 3.1</w:t>
      </w:r>
    </w:p>
    <w:p>
      <w:r>
        <w:t>Se prévalant d’une violation du droit et d’une constatation inexacte des faits, les appelants 1 et 2 reprochent au président d’avoir reconnu la qualité pour agir de l’intimée.</w:t>
      </w:r>
    </w:p>
    <w:p>
      <w:r>
        <w:rPr>
          <w:b/>
        </w:rPr>
        <w:t>E. 3.1.4</w:t>
      </w:r>
    </w:p>
    <w:p>
      <w:r>
        <w:t>; TF 4A_102/2023 du 17 octobre 2023 consid. 3.1.3 ; TF 4A_302/2022 du 30 mai 2023 consid. 3.1 ; TF 4A_155/2017 du 12 octobre 2017 consid. 4.1).</w:t>
      </w:r>
    </w:p>
    <w:p>
      <w:r>
        <w:rPr>
          <w:b/>
        </w:rPr>
        <w:t>E. 3.2.1</w:t>
      </w:r>
    </w:p>
    <w:p>
      <w:r>
        <w:t>L’art. 837 al. 1 ch. 3 CC (Code civil suisse du 10 décembre 1907 ; RS 210) prévoit que les artisans et entrepreneurs employés notamment à la construction ou à la destruction de bâtiments ou autres ouvrages peuvent requérir l’inscription d’une hypothèque légale sur l’immeuble pour lequel ils ont fourni des matériaux et du travail ou du</w:t>
      </w:r>
    </w:p>
    <w:p>
      <w:r>
        <w:t>- 10 - travail seulement, en garantie de leurs créances, que leur débiteur soit le propriétaire foncier, un artisan ou un entrepreneur, un locataire, un fermier ou une autre personne ayant un droit sur l’immeuble. 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5A_395/2020 du 16 mars 2021 consid. 2 ; TF 5A_518/2020 du 22 octobre 2020 consid. 3.1 et réf. cit.).</w:t>
      </w:r>
    </w:p>
    <w:p>
      <w:r>
        <w:rPr>
          <w:b/>
        </w:rPr>
        <w:t>E. 3.2.2</w:t>
      </w:r>
    </w:p>
    <w:p>
      <w:r>
        <w:t>Conformément à l'art. 961 al. 3 CC, le juge autorise l'inscription provisoire si le droit allégué lui paraît exister. 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(Juge unique CACI 1er juillet 2022/344 consid. 4.3.2.2 ; Juge unique CACI 1er novembre 2021/515 consid. 3.2.3 ; Juge unique CACI 15 mai 2021/232 consid. 3.1.3, in : JdT 2021 III 107). Ainsi, selon la doctrine dominante et la jurisprudence, l'inscription provisoire ne doit être refusée que lorsque l'existence du droit</w:t>
      </w:r>
    </w:p>
    <w:p>
      <w:r>
        <w:t>- 11 - à l'hypothèque des artisans et entrepreneurs apparaît exclue ou hautement invraisemblable. En présence d'une situation de fait ou de droit mal élucidée méritant un examen plus ample que celui auquel il peut être procédé dans le cadre d'une instruction sommaire, il convient bien plutôt de laisser au juge du fond le soin de décider si le droit à l'hypothèque doit en définitive être admis. Lorsque les conditions de l'inscription sont incertaines, il en résulte que le juge commet l’arbitraire s'il la refuse. En d’autres termes, à moins que le droit à la constitution de l'hypothèque n'existe clairement pas, le juge qui en est requis doit donc ordonner l'inscription provisoire (ATF 102 Ia 81 consid. 2b/b ; ATF 86 I 265 consid.</w:t>
      </w:r>
    </w:p>
    <w:p>
      <w:r>
        <w:rPr>
          <w:b/>
        </w:rPr>
        <w:t>E. 3.2.3</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w:t>
      </w:r>
    </w:p>
    <w:p>
      <w:r>
        <w:rPr>
          <w:b/>
        </w:rPr>
        <w:t>E. 3.3</w:t>
      </w:r>
    </w:p>
    <w:p>
      <w:r>
        <w:t>Le premier juge a relevé que si les factures concernant les travaux exécutés sur la parcelle litigieuse avaient bien été établies par M.________ SA, il ressortait de deux rapports de chantier que c’était toutefois l’intimée qui était citée en qualité d’entreprise intervenante pour les codes des frais de construction. Le président a considéré que cet élément était suffisant, au stade provisionnel, pour rendre vraisemblable que l’intimée disposait de la qualité pour agir. Il a encore souligné que la qualité pour agir de l’intimée ressortait également du témoignage de G.________ et de la facture établie par V.________ Sàrl (ordonnance, p. 10).</w:t>
      </w:r>
    </w:p>
    <w:p>
      <w:r>
        <w:t>- 12 - Les appelants 1 et 2 contestent la qualité pour agir de l’intimée en se prévalant de la facturation établie au nom de M.________ SA, du fait que les paiements qu’ils ont effectués ont été crédités sur le compte de M.________ SA, de la mention de cette société dans le tableau figurant dans le courriel du 17 janvier 2023, du logo existant sur un courrier du 31 janvier 2023 et du fait que c’est d’abord M.________ SA qui a déposé une réquisition de poursuite à l’encontre d’E.________ SA. L’état de fait a été complété s’agissant des paiements effectués par les appelants 1 et 2, ainsi que du courriel du 17 janvier 2023. Il n’a en revanche pas été tenu compte du fait concernant le logo sur le courrier du 31 janvier 2023, car celui-ci n’a pas été produit. Les autres faits invoqués ressortent déjà de l’ordonnance attaquée. Dans leur appel, les appelants 1 et 2 n’évoquent rien s’agissant des éléments sur lesquels le premier juge s’est fondé, soit sur les procès-verbaux de chantier ou sur le témoignage du représentant de V.________ Sàrl et sur la facture établie par celle-ci. En particulier, ils ne tentent pas de démontrer que ces éléments seraient inexacts ou incomplets ou contredits par d’autres éléments de l’instruction : leur appel souffre à cet égard d’un défaut de motivation. Les faits qu’ils invoquent ne permettent dès lors pas de remettre en cause à eux seuls le constat du premier juge selon lequel, au stade de la vraisemblance, l’intimée a la qualité pour requérir l’inscription d’une hypothèque légale des artisans et des entrepreneurs sur la parcelle litigieuse. Au demeurant, l’appréciation du premier juge apparaît justifiée à ce stade de l’instruction et peut être confirmée. On peut encore ajouter que la qualité pour agir de l’intimée découle aussi des pièces qu’elle a produites en première instance selon lesquelles c’est elle qui a rémunéré les employés ayant travaillé sur le chantier et qui a établi leurs décomptes d’heures.</w:t>
      </w:r>
    </w:p>
    <w:p>
      <w:r>
        <w:rPr>
          <w:b/>
        </w:rPr>
        <w:t>E. 4</w:t>
      </w:r>
    </w:p>
    <w:p>
      <w:r>
        <w:t>- 13 -</w:t>
      </w:r>
    </w:p>
    <w:p>
      <w:r>
        <w:rPr>
          <w:b/>
        </w:rPr>
        <w:t>E. 4.1</w:t>
      </w:r>
    </w:p>
    <w:p>
      <w:r>
        <w:t>En définitive, l’appel, manifestement infondé (art. 312 al. 1 in fine CPC), doit être rejeté et l’ordonnance attaquée confirmée.</w:t>
      </w:r>
    </w:p>
    <w:p>
      <w:r>
        <w:rPr>
          <w:b/>
        </w:rPr>
        <w:t>E. 4.2</w:t>
      </w:r>
    </w:p>
    <w:p>
      <w:r>
        <w:t>Les frais judiciaires de deuxième instance, arrêtés à 800 fr. (art. 65 al. 1 TFJC [tarif des frais judiciaires civils du 28 septembre 2010 ; BLV 270.11.5]), sont mis à la charge des appelants 1 et 2, solidairement entre eux, qui succombent (art. 106 al. 1 CPC).</w:t>
      </w:r>
    </w:p>
    <w:p>
      <w:r>
        <w:rPr>
          <w:b/>
        </w:rPr>
        <w:t>E. 4.3</w:t>
      </w:r>
    </w:p>
    <w:p>
      <w:r>
        <w:t>L’intimée n’ayant pas été invitée à se déterminer, il n’y a pas lieu à l’allocation de dépens. Par ces motifs, la Juge unique de la Cour d’appel civile prononce : I. L’appel est rejeté. II. L’ordonnance est confirmée. III. Les frais judiciaires de deuxième instance, arrêtés à 800 fr. (huit cents francs), sont mis à la charge des appelants A.X.________, B.X.________, Z.________ et H.________, solidairement entre eux. IV. L’arrêt est exécutoire. La juge unique : La greffière :</w:t>
      </w:r>
    </w:p>
    <w:p>
      <w:r>
        <w:t>- 14 - Du Le présent arrêt, dont la rédaction a été approuvée à huis clos, est notifié en expédition complète à : - Mme A.X.________ et M. B.X.________ ; - Mme H.________ et M. Z.________ ; - Me Jean-Christophe Oberson (pour J.________ Sàrl) ; et communiqué, par l'envoi de photocopies, à : - M. le Président du Tribunal civil de l’arrondissement de Lausanne ; - Mme la Conservatrice du Registre foncier, office de Lausanne.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