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JI22.031302 vom 17. März 2025</w:t>
      </w:r>
    </w:p>
    <w:p>
      <w:r>
        <w:t>VD Tribunal cantonal, 2025-03-17, FR</w:t>
      </w:r>
    </w:p>
    <w:p>
      <w:r>
        <w:rPr>
          <w:b/>
        </w:rPr>
        <w:t xml:space="preserve">Quelle: </w:t>
      </w:r>
      <w:r>
        <w:t>https://mcp.opencaselaw.ch/entscheid/vd_gerichte_JI22.031302</w:t>
      </w:r>
    </w:p>
    <w:p>
      <w:r>
        <w:t>FR: VD_GERICHTE JI22.031302 du 17 mars 2025</w:t>
      </w:r>
    </w:p>
    <w:p>
      <w:r>
        <w:t>IT: VD_GERICHTE JI22.031302 del 17 marzo 2025</w:t>
      </w:r>
    </w:p>
    <w:p>
      <w:pPr>
        <w:pStyle w:val="Heading2"/>
      </w:pPr>
      <w:r>
        <w:t>Erwägungen</w:t>
      </w:r>
    </w:p>
    <w:p>
      <w:r>
        <w:rPr>
          <w:b/>
        </w:rPr>
        <w:t>E. 3.1</w:t>
      </w:r>
    </w:p>
    <w:p>
      <w:r>
        <w:t>L’appelante fait valoir des griefs de violation du droit et de constatation inexacte des faits. Elle reproche à la première juge d’avoir maintenu la garde alternée prévue par la convention signée à l’audience de mesures provisionnelles du 29 novembre 2023 et de s’être écartée sans justes motifs du rapport du 22 avril 2024 de l’UEMS, concluant à ce que la garde de fait lui soit attribuée et qu’un droit de visite élargi soit instauré en faveur de l’intimé. Elle invoque à cet égard une violation de l’art. 298d CC. Examinant la question de la garde, la première juge a rappelé qu’il ressortait du rapport de l’UEMS que les parents disposaient des compétences éducatives nécessaires pour prendre en charge leur fils, que la directrice de la garderie fréquentée par l’enfant depuis le mois d’août 2021 n’avait pas fait part d’inquiétudes quant à la prise en charge de</w:t>
      </w:r>
    </w:p>
    <w:p>
      <w:r>
        <w:t>- 11 - l’enfant et avait indiqué que les deux parents avaient toujours été adéquats et étaient très soucieux et attentifs au bien-être de leur enfant. La première juge a constaté que s’agissant en particulier du père, il ressortait du rapport de l’UEMS qu’il s’était montré « bienveillant et affectueux » envers son fils et que celui-ci semblait à l’aise en sa présence, souriant et plein d’énergie. La présidente a retenu que le dossier ne faisait pas état de carences paternelles et que les capacités parentales de l’intimé étaient préservées. La première juge a rappelé que la proposition de l’UEMS tendant à la mise en place d’une garde exclusive reposait pour l’essentiel sur les problèmes de coparentalité, les parents ayant une manière différente de fonctionner et leur communication pouvant se révéler difficile. Elle a considéré qu’ils devaient apprendre à collaborer et à communiquer dans l’intérêt de leur enfant, notamment avec le concours du médiateur, et que l’instauration d’une garde exclusive ne semblait pas de nature à améliorer la situation. Elle a ajouté que, pour le moment, l’enfant se portait bien et qu’il n’y avait aucune mise en danger immédiate et concrète de l’enfant, les inquiétudes des intervenantes des Boréales portant sur le bon développement psycho- affectif de l’enfant à moyen-long terme. Soulignant que les parents étaient conscients de leurs difficultés et avaient notamment donné leur accord à l’instauration d’un mandat de protection confié à la DGEJ et d’un mandat de surveillance de l’exercice des relations personnelles, la présidente a estimé que lesdites mesures étaient suffisantes pour assurer le bien de l’enfant dans son quotidien. Elle a nié que le début de la scolarisation de l’enfant puisse constituer un fait nouveau essentiel de nature à remettre en cause le principe d’une garde alternée. Constatant que la proposition de l’UEMS ne différait que peu du système de garde alternée exercé en termes de temps de prise en charge par chacun des parents et que le père s’était occupé de l’enfant depuis sa naissance, elle a fait primer le principe de stabilité au stade des mesures provisionnelles, faute d’urgence ou d’intérêt pour l’enfant à changer le système de garde et compte tenu des mesures de protection mises en place.</w:t>
      </w:r>
    </w:p>
    <w:p>
      <w:r>
        <w:t>- 12 -</w:t>
      </w:r>
    </w:p>
    <w:p>
      <w:r>
        <w:rPr>
          <w:b/>
        </w:rPr>
        <w:t>E. 3.1.2</w:t>
      </w:r>
    </w:p>
    <w:p>
      <w:r>
        <w:t>et les nombreuses références).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w:t>
      </w:r>
    </w:p>
    <w:p>
      <w:r>
        <w:rPr>
          <w:b/>
        </w:rPr>
        <w:t>E. 3.2.1</w:t>
      </w:r>
    </w:p>
    <w:p>
      <w:r>
        <w:t>Aux termes de l’art. 298d CC – applicable en matière de modification des droits parentaux et de contribution à l’entretien de l’enfant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les relations personnelles ou la participation de chaque parent à la prise en charge de l’enfant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(TF 5A_735/2023 du 4 septembre 2024 consid. 10.2.1 et TF 5A_499/2023 du 26 février 2024 consid. 4.1 et les nombreuses références).</w:t>
      </w:r>
    </w:p>
    <w:p>
      <w:r>
        <w:rPr>
          <w:b/>
        </w:rPr>
        <w:t>E. 3.2.2</w:t>
      </w:r>
    </w:p>
    <w:p>
      <w:r>
        <w:t>Aux termes de l’art. 298b al. 3ter CC, lorsque l’autorité parentale est exercée conjointement, l’autorité de protection de l’enfant examine, selon le bien de l’enfant, la possibilité de la garde alternée, si le père, la mère ou l’enfant la demande.</w:t>
      </w:r>
    </w:p>
    <w:p>
      <w:r>
        <w:rPr>
          <w:b/>
        </w:rPr>
        <w:t>E. 3.2.2.1</w:t>
      </w:r>
    </w:p>
    <w:p>
      <w:r>
        <w:t>La garde alternée est la situation dans laquelle les parents exercent en commun l’autorité parentale, mais se partagent la garde de l’enfant d’une façon alternée pour des périodes plus ou moins égales,</w:t>
      </w:r>
    </w:p>
    <w:p>
      <w:r>
        <w:t>- 13 - pouvant être fixées en jours ou en semaines, voire en mois (ATF 147 III 121 consid. 3.2 ; ATF 142 III 617 consid. 3.2.3 et les références ; TF 5A_932/2021 du 22 avril 2022 consid. 3.1 et TF 5A_987/2021 du 12 avril 2022 consid. 3.1.1 et les nombreuses références).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143 I 21 consid. 5.5.3 ; 141 III 328 consid. 5.4), les intérêts des parents devant être relégués au second plan (ATF 142 III 617 consid.</w:t>
      </w:r>
    </w:p>
    <w:p>
      <w:r>
        <w:rPr>
          <w:b/>
        </w:rPr>
        <w:t>E. 3.2.2.2</w:t>
      </w:r>
    </w:p>
    <w:p>
      <w:r>
        <w:t>L’autorité compétente doit évaluer, sur la base de la situation de fait actuelle ainsi que de celle qui prévalait avant la séparation des parties si celles-ci ont vécu ensemble,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et les références ;</w:t>
      </w:r>
    </w:p>
    <w:p>
      <w:r>
        <w:t>- 14 - TF 5A_932/2021 précité consid. 3.1 et TF 5A_987/2021 précité consid.</w:t>
      </w:r>
    </w:p>
    <w:p>
      <w:r>
        <w:rPr>
          <w:b/>
        </w:rPr>
        <w:t>E. 3.2.3</w:t>
      </w:r>
    </w:p>
    <w:p>
      <w:r>
        <w:t>Pour apprécier les critères d’attribution des droits parentaux, le juge du fait, qui connaît le mieux les parties et le milieu dans lequel vit l’enfant, dispose d’un large pouvoir d’appréciation (ATF 142 III 617 consid.</w:t>
      </w:r>
    </w:p>
    <w:p>
      <w:r>
        <w:rPr>
          <w:b/>
        </w:rPr>
        <w:t>E. 3.2.5</w:t>
      </w:r>
    </w:p>
    <w:p>
      <w:r>
        <w:t>et les références ; TF 5A_932/2021 précité consid. 3.1 et TF 5A_987/2021 précité consid. 3.1.3 et les nombreuses références). Il en va de même de la question de savoir si une modification essentielle est survenue par rapport à la situation existant au moment où la décision</w:t>
      </w:r>
    </w:p>
    <w:p>
      <w:r>
        <w:t>- 15 - initiale a été prise doit s’apprécier en fonction de toutes les circonstances du cas d’espèce et relève du pouvoir d’appréciation du juge (art. 4 CC ; ATF 149 III 193 consid. 5.3 ; 145 III 49 consid. 3.3 ; TF 5A_735/2023 précité consid. 10.2.2 et TF 5A_499/2023 précité consid. 4.1 et les nombreuses références).</w:t>
      </w:r>
    </w:p>
    <w:p>
      <w:r>
        <w:rPr>
          <w:b/>
        </w:rPr>
        <w:t>E. 4.1</w:t>
      </w:r>
    </w:p>
    <w:p>
      <w:r>
        <w:t>Il convient dans un premier temps d’examiner si une modification essentielle est survenue par rapport à la situation existant au moment où la convention du 29 novembre 2023 a été ratifiée par la première juge pour valoir ordonnance de mesures provisionnelles, étant précisé que la présidente a considéré qu’aucune circonstance nouvelle importante ne commandait de modifier la règlementation des relations personnelles entre les parents et leur fils. L’appelante ne fait pas valoir clairement de modification essentielle qui justifierait de modifier la règlementation des relations personnelles entre les parties et leur fils telle que prévue par la convention du 29 novembre 2023. En revanche, elle invoque une série de griefs relevant de la constatation inexacte des faits et de l’appréciation de ceux-ci qui, considérés dans leur ensemble, mettraient en lumière de nouvelles carences parentales chez le père et une péjoration de la coparentalité et de la communication entre les parties.</w:t>
      </w:r>
    </w:p>
    <w:p>
      <w:r>
        <w:rPr>
          <w:b/>
        </w:rPr>
        <w:t>E. 4.2</w:t>
      </w:r>
    </w:p>
    <w:p>
      <w:r>
        <w:t>L’appelante fait valoir que c’est à tort que la présidente n’a pas retenu que l’intimé était particulièrement instable et présentait désormais de sérieuses carences dans la prise en charge de son fils.</w:t>
      </w:r>
    </w:p>
    <w:p>
      <w:r>
        <w:rPr>
          <w:b/>
        </w:rPr>
        <w:t>E. 4.2.1</w:t>
      </w:r>
    </w:p>
    <w:p>
      <w:r>
        <w:t>Avant d’examiner les griefs de l’intimée, il convient de rappeler les constats qui ont été dressé dans le rapport de l’UEMS. Celui-ci relève pour l’essentiel que les deux parents disposent des compétences éducatives nécessaires pour prendre en charge leur fils. Ledit rapport est accompagné du compte-rendu particulièrement fouillé de l’entretien entre son auteur et la directrice de la garderie de l’enfant. Celle-ci a notamment mentionné que, depuis que l’enfant fréquentait sa structure au mois</w:t>
      </w:r>
    </w:p>
    <w:p>
      <w:r>
        <w:t>- 16 - d’août 2021, elle n’avait pas relevé d’inquiétudes quant à la prise en charge de l’enfant, précisant que les deux parents avaient toujours été adéquats et étaient très soucieux et attentifs au bien-être de leur enfant. S’agissant en particulier du père, il ressort du rapport d’évaluation que, lors de la visite à son domicile, il s’est montré « bienveillant et affectueux envers E.________ » et que l’enfant semblait à l’aise en sa présence, souriant et plein d’énergie. Il résulte de ce qui précède que le rapport de l’UEMS ne permet pas de retenir que l’intimé serait particulièrement instable et présenterait des carences parentales.</w:t>
      </w:r>
    </w:p>
    <w:p>
      <w:r>
        <w:rPr>
          <w:b/>
        </w:rPr>
        <w:t>E. 4.2.2.1</w:t>
      </w:r>
    </w:p>
    <w:p>
      <w:r>
        <w:t>L’appelante produit tout d’abord une déclaration écrite datée du 31 octobre 2024 d’un dénommé D.________, présenté comme étant « un habitant de [...] ». L’appelante relate avoir été interpellée par cette personne qui lui avait indiqué qu’au mois de septembre 2024, l’enfant aurait été aperçu seul dans la voiture de son père, avec les fenêtres ouvertes, sur un parking alors que l’intimé faisait ses courses à l’intérieur d’un magasin.</w:t>
      </w:r>
    </w:p>
    <w:p>
      <w:r>
        <w:rPr>
          <w:b/>
        </w:rPr>
        <w:t>E. 4.2.2.2</w:t>
      </w:r>
    </w:p>
    <w:p>
      <w:r>
        <w:t>Le juge apprécie librement la force probante des preuves en fonction des circonstances concrètes, sans être lié par des règles légales et sans être obligé de suivre un schéma précis (art. 157 CPC ; ATF 143 III 297 consid. 9.3.2 ; ATF 133 I 33 consid. 2.1, JdT 2008 IV 6 ; TF 5A_113/2015 du 3 juillet 2015 consid. 3.2). Il lui appartient d’apprécier dans leur ensemble tous les moyens de preuve apportés, en évaluant la crédibilité de chacun d’eux (TF 5A_812/2015 du 6 septembre 2016 consid. 5.2 ; TF 4A_394/2009 du 4 décembre 2009 c. 2.4, RSPC 2010 p. 147). S’agissant de la force probante des témoignages écrits, il convient de rappeler que le témoignage écrit ne constitue pas l’un des moyens de preuve exhaustivement prévu à l’art. 168 CPC et n’est dès lors pas admissible (TF 4A_387/2017 du 28 août 2017 consid. 3.2 ; TF 5A_957/2012 du 28 mai 2013 consid. 2 ; Commentaire romand, Code de procédure civile, 2e éd., Bâle 2019 [ci-après : CR-CPC], n. 1 ad art. 168 CPC ; Dolge, Basler Kommentar, Schweizerische Zivilprozessordnung, Bâle</w:t>
      </w:r>
    </w:p>
    <w:p>
      <w:r>
        <w:t>- 17 - 2017, 3e éd., n. 12 ad art. 177 CPC ; Barth, La maîtrise des faits par l’avocat – Devoirs et limites durant l’investigation, l’allégation et la présentation des moyens de preuve, thèse Genève 2022, n. 926). Comme le relève l’auteur prénommé, le témoignage écrit ne permet pas d’apprécier la crédibilité du témoin, qui signera généralement un document préétabli et formulé de manière à être favorable à la partie produisant un tel document, ce qui peut être de nature à influencer le tiers (Barth, op. cit., n. 930). La Cour de céans tient d’ailleurs un tel moyen de preuve pour irrecevable (CACI 31 mai 2022/292 consid. 3.2 ; CACI du 18 février 2021/76 consid. 4.1.2 ; CACI 13 mai 2020/177 consid. 3.4). Une partie de la doctrine est en revanche moins stricte et admet que le témoignage écrit puisse constituer un titre au sens de l’art. 177 CPC (Vouilloz, Le témoignage écrit, RVJ 2016 p. 343 ss, p. 351). Si tel est le cas, sa valeur probante doit être appréciée librement par le tribunal (art. 157 CPC).</w:t>
      </w:r>
    </w:p>
    <w:p>
      <w:r>
        <w:rPr>
          <w:b/>
        </w:rPr>
        <w:t>E. 4.2.2.3</w:t>
      </w:r>
    </w:p>
    <w:p>
      <w:r>
        <w:t>En ce qui concerne cette déclaration écrite, la question de sa recevabilité et de sa nature peut rester ouverte. En effet, même à supposer qu’il s’agisse d’un titre, cette déclaration reste isolée. On ignore de plus tout de son auteur et en particulier ses liens avec l’appelante, de sorte qu’il faut sensiblement le relativiser.</w:t>
      </w:r>
    </w:p>
    <w:p>
      <w:r>
        <w:rPr>
          <w:b/>
        </w:rPr>
        <w:t>E. 4.2.3</w:t>
      </w:r>
    </w:p>
    <w:p>
      <w:r>
        <w:t>L’appelante se prévaut ensuite d’une déclaration de la Dre U.________, pédiatre de l’enfant, laquelle a indiqué dans ses déclarations à l’UEMS que la mère semblait être une figure parentale adéquate et que l’attitude du père semblait « particulière ». Cette médecin n’était « pas convaincue [que le père] prenait au sérieux l’état de santé de son fils ». Il convient cependant de rappeler qu’il n’existe pas d’autres déclarations de professionnels (garderie, UAPE, enseignant, etc.) allant dans le même sens. De plus, cette pédiatre demeure prudente et mentionne explicitement qu’elle n’a rencontré le père qu’une seule fois. Or, une impression fondée sur un seul échange ne permet pas de tirer des conclusions solides sur l’attitude globale du père. Il convient encore de</w:t>
      </w:r>
    </w:p>
    <w:p>
      <w:r>
        <w:t>- 18 - relever que la déclaration de cette pédiatre apparaît subjective dans la mesure où elle ne mentionne pas d’exemple concret montrant une négligence. Au surplus, si l’appelante fait grand cas du ressenti de cette pédiatre, elle se garde de rappeler que la médecin en question a également déclaré que « [sa] collaboration avec les parents se passe bien. ». Il apparaît enfin que, même si à une reprise l’intimé n’aurait pas averti l’UAPE et l’appelante d’un épisode de maladie, il a emmené son fils chez le pédiatre à cette occasion, si bien qu’il n’est pas rendu vraisemblable qu’il ne prenne pas au sérieux l’état de santé de son fils.</w:t>
      </w:r>
    </w:p>
    <w:p>
      <w:r>
        <w:rPr>
          <w:b/>
        </w:rPr>
        <w:t>E. 4.2.4</w:t>
      </w:r>
    </w:p>
    <w:p>
      <w:r>
        <w:t>L’appelante invoque également l’extrait d’un échange de message WhatsApp des 3 et 4 octobre 2024 pour affirmer que l’intimé ne prendrait pas toutes les mesures que l’on peut raisonnablement attendre de sa part pour garantir la sécurité de son enfant, refusant d’acquérir un siège automobile adapté aux besoins de son enfant. Les reproches de l’appelante quant à la question du siège auto n’ont pas été évoqués dans le cadre de l’établissement du rapport de l’UEMS et n’apparaissent qu’au stade de l’appel. Au demeurant et même si l’intimé indique qu’il va acquérir un nouveau siège, le grief est insuffisamment motivé dans la mesure où, sans plus de détails (taille et poids de l’enfant, catégorie de siège concerné), on ignore quels sont les besoins réels. En effet, E.________ se trouvait, vu son âge à l’époque des faits reprochés, dans une période charnière où deux types de sièges pouvaient être conformes à la réglementation en vigueur (art. 106 OETV [Ordonnance concernant les exigences techniques requises pour les véhicules routiers du 19 juin 1995 ; RS 741.41] et les annexes). On ne saurait en déduire que l’intimé ne prendrait pas toutes les mesures pour garantir la sécurité de son enfant.</w:t>
      </w:r>
    </w:p>
    <w:p>
      <w:r>
        <w:rPr>
          <w:b/>
        </w:rPr>
        <w:t>E. 4.2.5</w:t>
      </w:r>
    </w:p>
    <w:p>
      <w:r>
        <w:t>L’appelante reproche au père de cultiver du cannabis à son domicile et une consommation régulière en présence de l’enfant, ce qui représenterait un élément inquiétant dans la prise en compte des capacités</w:t>
      </w:r>
    </w:p>
    <w:p>
      <w:r>
        <w:t>- 19 - parentales de l’intimé et un risque indéniable pour la santé et le développement de l’enfant. Si une consommation passée a été relevée par les intervenants de MalleyPrairie (rapport de l’UEMS, p. 5), l’allégation de l’appelante n’est cependant pas rendue vraisemblable dans la situation actuelle. Rien de tel n’a été constaté lors de la visite au domicile du père dans le cadre de l’évaluation par l’UEMS, aucun autre élément du dossier ne venant accréditer cette allégation.</w:t>
      </w:r>
    </w:p>
    <w:p>
      <w:r>
        <w:rPr>
          <w:b/>
        </w:rPr>
        <w:t>E. 4.2.6</w:t>
      </w:r>
    </w:p>
    <w:p>
      <w:r>
        <w:t>L’appelante invoque les indications données par les intervenants du Centre d’accueil MalleyPrairie à l’UEMS, lesquels sont intervenus dans un contexte de violences entre les parties. En ce qui ces indications et les violences subies par l’appelante (cf. rapport du Dr Y.________ du 10 octobre 2022 et attestation du Centre d’accueil MalleyPrairie du 5 juillet 2022), force est de constater que les rapports les attestant sont tous antérieurs à l’audience du 29 novembre 2023, si bien que ces éléments étaient bien connus de l’appelante lorsque les parties ont convenu d’une garde alternée. Par conséquent, les indications en question ne sauraient constituer un fait nouveau, si bien que le grief doit être rejeté.</w:t>
      </w:r>
    </w:p>
    <w:p>
      <w:r>
        <w:rPr>
          <w:b/>
        </w:rPr>
        <w:t>E. 4.2.7</w:t>
      </w:r>
    </w:p>
    <w:p>
      <w:r>
        <w:t>L’appelante se prévaut du fait que l’enfant reviendrait de chez son père avec une hygiène déplorable. Elle semble se référer à l’échange de message WhatsApp des 3 et 4 octobre 2024 susmentionné. Cette allégation ne peut cependant pas être tenue pour vraisemblable sur la base des seules déclarations de l’appelante en procédure. Il convient de souligner qu’une telle problématique n’a pas été relevée dans le rapport l’UEMS. De plus, dans la mesure où l’enfant a fréquenté une garderie le lundi lorsqu’il était sous la responsabilité de son père, une telle problématique aurait selon toute vraisemblance été constatée par le personnel éducatif, ce qui n’est pas le cas (cf. compte- rendu de l’entretien avec la directrice de la garderie le F.________). Le grief doit également être rejeté.</w:t>
      </w:r>
    </w:p>
    <w:p>
      <w:r>
        <w:t>- 20 -</w:t>
      </w:r>
    </w:p>
    <w:p>
      <w:r>
        <w:rPr>
          <w:b/>
        </w:rPr>
        <w:t>E. 4.2.8</w:t>
      </w:r>
    </w:p>
    <w:p>
      <w:r>
        <w:t>Dans ces circonstances, les autres allégations de l’appelante s’agissant du déroulement des « Facetime », du refus de partager une « routine commune », de la projection de films inadaptés à l’âge de l’enfant ou de la mise à disposition de jeux vidéos inadéquats apparaissent refléter son propre ressenti et ne sont aucunement rendues vraisemblables. Ceci est particulièrement flagrant lorsqu’elle se plaint de ne pas recevoir d’information sur les activités que l’enfant réalise avec son père et sur le déroulement de ses journées (rapport de l’UEMS, p. 3). Or, il ressort du rapport de l’UEMS que les activités de l’enfant chez son père demeurent des plus ordinaires (jeu d’extérieur, vélo, temps d’écran contrôlé, lecture rituelle avant le coucher, cf. rapport de l’UEMS, p. 4). Cela étant, dans un contexte de séparation, on voit mal que l’une des parties doive être renseignée, avec le niveau de détail souhaité par l’appelante, des faits et gestes de l’enfant lorsqu’il n’est pas avec elle sans empiéter sur le droit aux relations personnelles de l’autre parent. On ne saurait en tout état de cause y discerner une constatation inexacte ou incomplète des faits par la première juge.</w:t>
      </w:r>
    </w:p>
    <w:p>
      <w:r>
        <w:rPr>
          <w:b/>
        </w:rPr>
        <w:t>E. 4.2.9</w:t>
      </w:r>
    </w:p>
    <w:p>
      <w:r>
        <w:t>Compte tenu de ce qui précède, aucune pièce au dossier ne fait état d’une péjoration essentielle des compétences parentales de l’intimé de sorte qu’il n’y a aucune mise en danger immédiate et concrète de l’enfant. De ce point de vue, il n’existe pas de motif pour remettre en cause le système de garde alternée prévu par les parties dans leur convention du 29 novembre 2023.</w:t>
      </w:r>
    </w:p>
    <w:p>
      <w:r>
        <w:rPr>
          <w:b/>
        </w:rPr>
        <w:t>E. 4.3</w:t>
      </w:r>
    </w:p>
    <w:p>
      <w:r>
        <w:t>L’appelante fait ensuite valoir que le maintien d’une garde alternée ne serait pas envisageable en raison de l’exacerbation des problématiques liées à la coparentalité et à la communication et que les mesures mises en œuvre seraient insuffisantes. En substance, elle reproche à la première juge de ne pas avoir évalué correctement les conséquences néfastes pour le développement de l’enfant du conflit</w:t>
      </w:r>
    </w:p>
    <w:p>
      <w:r>
        <w:t>- 21 - parental et d’avoir écarté la conclusion du rapport de l’UEMS portant sur la garde de fait sans juste motif.</w:t>
      </w:r>
    </w:p>
    <w:p>
      <w:r>
        <w:rPr>
          <w:b/>
        </w:rPr>
        <w:t>E. 4.3.1</w:t>
      </w:r>
    </w:p>
    <w:p>
      <w:r>
        <w:t>Avant d’examiner les différents griefs de l’appelante, il convient de souligner que sa position est contradictoire sur ce point. En effet, l’appelante affirme elle-même que les problématiques liées de la coparentalité et de la communication ne sont pas survenues après la signature de la convention instaurant la garde alternée (« les problématiques de coparentalité et de communication rencontrées par les parties perdurent à tout le moins depuis la date de la séparation intervenue en juillet 2021 », appel, p. 7), si bien que l’ordonnance attaquée doit déjà être confirmée pour motif, faute de modification essentielle.</w:t>
      </w:r>
    </w:p>
    <w:p>
      <w:r>
        <w:rPr>
          <w:b/>
        </w:rPr>
        <w:t>E. 4.3.2</w:t>
      </w:r>
    </w:p>
    <w:p>
      <w:r>
        <w:t>; sur le tout TF 5A_695/2020 du 26 avril 2021 consid. 3.2.2 et les références). Il n’en va pas différemment lorsque – comme en l’espèce – le procès est soumis à la maxime inquisitoire (art. 55 al. 2 et 296 al. 1 CPC ; ATF 138 III 374 précité consid. 4.3.2 ; sur le tout : TF 5A_895/2022 du 17 juillet 2023 consid. 9.3 et les références).</w:t>
      </w:r>
    </w:p>
    <w:p>
      <w:r>
        <w:rPr>
          <w:b/>
        </w:rPr>
        <w:t>E. 4.3.3</w:t>
      </w:r>
    </w:p>
    <w:p>
      <w:r>
        <w:t>L’appelante fait valoir que l’intimé refuserait de collaborer avec la DGEJ et les Boréales et que la situation se serait aggravée sur ce plan. Elle se prévaut notamment du fait que l’intimé aurait quitté le groupe Whatsapp commun créé pour la communication relative à l’enfant et qu’il n’aurait pas collaboré avec les Boréales depuis le mois de janvier 2024. Cependant, force est de constater qu’à l’audience du 18 juillet 2024, l’appelant a accepté par convention l’institution d’un mandat de protection au sens de l’art. 307 al. 3 CC confié à la DGEJ avec pour missions de veiller au bon développement de l’enfant, de s’assurer de la mise en œuvre d’un suivi pédopsychiatrique, de collaborer avec les Boréales et de coordonner le réseau des professionnels, étant précisé que l’UEMS préconise désormais de commencer le travail aux Boréales par un suivi individuel (p. 6). Dans ces circonstances, on ne saurait discerner de modification ou</w:t>
      </w:r>
    </w:p>
    <w:p>
      <w:r>
        <w:t>- 24 - d’aggravation essentielle par rapport à la situation existante au moment où la convention a été mise en place.</w:t>
      </w:r>
    </w:p>
    <w:p>
      <w:r>
        <w:rPr>
          <w:b/>
        </w:rPr>
        <w:t>E. 4.3.4</w:t>
      </w:r>
    </w:p>
    <w:p>
      <w:r>
        <w:t>L’appelante se prévaut des indications données à l’UEMS par les intervenants des Boréales, lesquels ont entamé un travail avec les parties, pour en déduire que la garde alternée ne peut être maintenue. Les Boréales ont certes fait part à l’UEMS d’« inquiétudes » concernant le développement à moyen et long terme de l’enfant. Cependant, les intervenants des Boréales ne présentent pas de modification essentielle survenue après la convention de mesures provisionnelles instaurant la garde alternée ; il ne s’agit que d’inquiétudes, lesquelles ne sont pas nouvelles s’agissant de la coparentalité et de la communication, ni mises en relation avec la situation actuelle. Guère motivé, ce grief doit être rejeté.</w:t>
      </w:r>
    </w:p>
    <w:p>
      <w:r>
        <w:rPr>
          <w:b/>
        </w:rPr>
        <w:t>E. 4.3.5</w:t>
      </w:r>
    </w:p>
    <w:p>
      <w:r>
        <w:t>L’appelante fait valoir que le début de la scolarisation de l’enfant à [...], entraînerait un besoin de communication, de collaboration et d’organisation accru, auquel l’intimé ne serait pas prêt à se prêter. Il ne s’agit pas d’un fait nouveau essentiel de nature à remettre en cause le principe d’une garde alternée dès lors que l’entrée à l’école de l’enfant était prévisible au moment de la signature de la convention instaurant la garde alternée. Au demeurant, la distance de six kilomètres séparant les domiciles des parents ne constitue pas un obstacle à cette modalité de garde, le père ayant d’ailleurs indiqué qu’il cherchait à se rapprocher de [...]. Quant aux difficultés de communication au niveau scolaire que soulève l’appelante, elles ne sont pas rendues vraisemblables au vu de la bonne collaboration des parents avec la garderie fréquentée par leur fils. Faute de circonstance nouvelle, ce grief doit être rejeté.</w:t>
      </w:r>
    </w:p>
    <w:p>
      <w:r>
        <w:rPr>
          <w:b/>
        </w:rPr>
        <w:t>E. 4.3.6</w:t>
      </w:r>
    </w:p>
    <w:p>
      <w:r>
        <w:t>Il découle des développements qui précèdent que les problématiques liées de la coparentalité et de la communication divisant les parties ne constituent ni une modification essentielle ni un obstacle au maintien d’une garde alternée, étant rappelé que la convention l’instaurant a été établie en audience par devant la première juge et avec</w:t>
      </w:r>
    </w:p>
    <w:p>
      <w:r>
        <w:t>- 25 - l’assistance des conseils des parties (procès-verbal de l’audience du 29 novembre 2023).</w:t>
      </w:r>
    </w:p>
    <w:p>
      <w:r>
        <w:rPr>
          <w:b/>
        </w:rPr>
        <w:t>E. 4.4</w:t>
      </w:r>
    </w:p>
    <w:p>
      <w:r>
        <w:t>En définitive, les moyens de l’appelante se révèlent manifestement infondés. Une nouvelle réglementation de la garde ne s’impose pas impérativement pour le bien de E.________, faute de circonstance nouvelle, ce que l’appelante n’entreprend d’ailleurs pas de démontrer. Il convient au contraire de rappeler que l’enfant a bénéficié d’une garde alternée depuis la séparation et même d’une conséquente prise en charge paternelle depuis à tout le moins la première année de sa vie, notamment compte tenu du fait que l’intimé n’exerçait pas une activité à 100 % (ordonnance attaquée, p. 18-19) et de la formation suivie par sa mère par la suite. Au stade des mesures provisionnelles, il n’y a par conséquent ni urgence ni intérêt supérieur de l’enfant à changer le système de garde. C’est dès lors à juste titre que la première juge n’est pas entrée en matière et a maintenu le système de garde en place.</w:t>
      </w:r>
    </w:p>
    <w:p>
      <w:r>
        <w:rPr>
          <w:b/>
        </w:rPr>
        <w:t>E. 5.1</w:t>
      </w:r>
    </w:p>
    <w:p>
      <w:r>
        <w:t>L’appelante requiert qu’il soit procédé à l’interpellation des Boréales afin qu’un rapport circonstancié concernant le suivi de coparentalité entrepris par les parties et son évolution soit établi, qu’il soit procédé à l’interpellation de la DGEJ dans le cadre du mandat de protection à forme de l’art. 307 al. 3 CC afin d’établir un rapport de situation actualisé, qu’il soit procédé à l’interpellation de B.________ dans le cadre de son mandant de médiateur et de curateur au sens de l’art. 308 al. 2 CC afin qu’il établisse un rapport de situation et qu’il soit ordonné la production par la DGEJ du dossier concernant l’intimé dans le cadre de la mission concernant l’enfant [...].</w:t>
      </w:r>
    </w:p>
    <w:p>
      <w:r>
        <w:rPr>
          <w:b/>
        </w:rPr>
        <w:t>E. 5.2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w:t>
      </w:r>
    </w:p>
    <w:p>
      <w:r>
        <w:t>- 26 - preuves (ATF 138 III 374 consid. 4.3.1 ; ATF 128 III 411 consid. 3.2.1 ; TF 5A_895/2022 du 17 juillet 2023 consid. 9.3).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références ; TF 5A_895/2022 précité consid. 9.3).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w:t>
      </w:r>
    </w:p>
    <w:p>
      <w:r>
        <w:rPr>
          <w:b/>
        </w:rPr>
        <w:t>E. 5.3</w:t>
      </w:r>
    </w:p>
    <w:p>
      <w:r>
        <w:t>En l’espèce, l’interpellation des Boréales afin qu’un rapport concernant le suivi de coparentalité entrepris par les parties et son évolution soit établi est prématurée, il convient préalablement de laisser les professionnels effectuer leur travail thérapeutique. L’appelante n’explique d’ailleurs pas sur quel point un rapport en l’état des Boréales permettrait de voir les circonstances sous un autre jour. Quant à la demande de rapport de situation actualisé auprès de la DGEJ dans le cadre du mandat de protection, la première juge pourra, avant de trancher le litige au fond, demander à cette autorité d’actualiser son premier rapport si elle l’estime nécessaire. Il s’agit cependant d’un élément de fond qui n’est pas nécessaire au stade de l’examen en vraisemblance dans le cadre des mesures provisionnelles comme on l’a montré ci-dessus. Quant au curateur de surveillance de l’exercice des relations personnelles, il conviendra d’attendre qu’il ait pu avancer dans son travail et, compte tenu de son rôle de médiateur, d’observer une certaine retenue à son égard pour garantir le bon déroulement de la médiation (art. 216 al. 1 CPC). En</w:t>
      </w:r>
    </w:p>
    <w:p>
      <w:r>
        <w:t>- 27 - tout état de cause, il est également prématuré de lui demander des renseignements au stade des mesures provisionnelles. Enfin, s’agissant de la production par la DGEJ du dossier concernant l’un des enfants issu des précédentes relations de l’intimé, cette réquisition n’est que peu motivée, l’appelante n’en expliquant pas les motifs et n’apparaît pas nécessaire dès lors que les compétences parentales de l’intimé ne sont pas remises en cause par le rapport en ce qui concerne E.________. Manifestement infondés, les compléments d’instruction requis par l’appelante doivent être rejetés.</w:t>
      </w:r>
    </w:p>
    <w:p>
      <w:r>
        <w:rPr>
          <w:b/>
        </w:rPr>
        <w:t>E. 6</w:t>
      </w:r>
    </w:p>
    <w:p>
      <w:r>
        <w:t>Au vu de l’issue de la cause, il n’y a pas lieu d’examiner la conclusion de l’appelante tendant à ce que l’intimé verse une pension mensuelle de 858 fr. en faveur de son fils, qui repose sur la prémisse que la garde de fait de l’enfant lui serait attribuée.</w:t>
      </w:r>
    </w:p>
    <w:p>
      <w:r>
        <w:rPr>
          <w:b/>
        </w:rPr>
        <w:t>E. 7.1</w:t>
      </w:r>
    </w:p>
    <w:p>
      <w:r>
        <w:t>En définitive, l’appel, manifestement mal fondé, doit être rejeté en application de l’art. 312 al. 1 CPC.</w:t>
      </w:r>
    </w:p>
    <w:p>
      <w:r>
        <w:rPr>
          <w:b/>
        </w:rPr>
        <w:t>E. 7.2</w:t>
      </w:r>
    </w:p>
    <w:p>
      <w:r>
        <w:t>L’appelante a requis l’assistance judiciaire pour la procédure de deuxième instance. Or, sa cause était d’emblée dépourvue de toute chance de succès (art. 117 let. b CPC), les arguments pour contester l’ordonnance apparaissant manifestement voués à l’échec. La requête d’assistance judiciaire doit dès lors être rejetée.</w:t>
      </w:r>
    </w:p>
    <w:p>
      <w:r>
        <w:rPr>
          <w:b/>
        </w:rPr>
        <w:t>E. 7.3</w:t>
      </w:r>
    </w:p>
    <w:p>
      <w:r>
        <w:t>Les frais judiciaires de deuxième instance, arrêtés à 600 fr. (art. 65 al. 2 TFJC [tarif des frais judiciaires civils du 28 septembre 2010 ; BLV 270.11.5]), doivent être mis à la charge de l’appelante, qui succombe (art. 106 al. 1 CPC). L’intimé n’ayant pas été invité à se déterminer, il n’y a pas lieu à l’allocation de dépens de deuxième instance.</w:t>
      </w:r>
    </w:p>
    <w:p>
      <w:r>
        <w:t>- 28 - Par ces motifs, la juge unique de la Cour d’appel civile prononce : I. L’appel est rejeté. II. L’ordonnance est confirmée. III. La requête d’assistance judiciaire de l’appelante A.________ est rejetée. IV. Les frais judiciaires de deuxième instance, arrêtés à 600 fr. (six cents francs), sont mis à la charge de l’appelante A.________. V. L’arrêt est exécutoire. La juge unique : Le greffier : Du Le présent arrêt, dont la rédaction a été approuvée à huis clos, est notifié en expédition complète à : - Me Laura Leggiero-Reichenbach (pour l’appelante), - Me Micaela Vaerini (pour l’intimé), et communiqué, par l’envoi de photocopies, à : - Mme la Présidente du Tribunal civil de l’arrondissement de la Côte - DGEJ, ORPM de l’Ouest vaudois,</w:t>
      </w:r>
    </w:p>
    <w:p>
      <w:r>
        <w:t>- 29 - - DGEJ, Unité d’appui juridique, - B.________, médiateur et curateur de surveillance de l’exercice des relations personnelles auprès de Trait d’Union,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