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JI22.017045 vom 17. Oktober 2023</w:t>
      </w:r>
    </w:p>
    <w:p>
      <w:r>
        <w:t>VD Tribunal cantonal, 2023-10-17, FR</w:t>
      </w:r>
    </w:p>
    <w:p>
      <w:r>
        <w:rPr>
          <w:b/>
        </w:rPr>
        <w:t xml:space="preserve">Quelle: </w:t>
      </w:r>
      <w:r>
        <w:t>https://mcp.opencaselaw.ch/entscheid/vd_gerichte_JI22.017045</w:t>
      </w:r>
    </w:p>
    <w:p>
      <w:r>
        <w:t>FR: VD_GERICHTE JI22.017045 du 17 octobre 2023</w:t>
      </w:r>
    </w:p>
    <w:p>
      <w:r>
        <w:t>IT: VD_GERICHTE JI22.017045 del 17 ottobre 2023</w:t>
      </w:r>
    </w:p>
    <w:p>
      <w:pPr>
        <w:pStyle w:val="Heading2"/>
      </w:pPr>
      <w:r>
        <w:t>Erwägungen</w:t>
      </w:r>
    </w:p>
    <w:p>
      <w:r>
        <w:rPr>
          <w:b/>
        </w:rPr>
        <w:t>E. 3.1</w:t>
      </w:r>
    </w:p>
    <w:p>
      <w:r>
        <w:t>L’appelante conteste que l’inscription provisoire de l’hypothèque légale n’a pas été opérée dans le délai de quatre mois à compter de la fin des travaux effectués dans la villa des intimés.</w:t>
      </w:r>
    </w:p>
    <w:p>
      <w:r>
        <w:rPr>
          <w:b/>
        </w:rPr>
        <w:t>E. 3.2.1</w:t>
      </w:r>
    </w:p>
    <w:p>
      <w:r>
        <w:t>L’art. 837 al. 1 ch. 3 CC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rPr>
          <w:b/>
        </w:rPr>
        <w:t>E. 3.2.2</w:t>
      </w:r>
    </w:p>
    <w:p>
      <w:r>
        <w:t>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w:t>
      </w:r>
    </w:p>
    <w:p>
      <w:r>
        <w:t>- 14 -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5A_518/2020 du 22 octobre 2020 consid. 3.1 et réf. cit.).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précité consid. 3.3.2.4 ; TF 5A_518/2020 précité consid. 3.1 et réf. cit.). Les travaux effectués par l'entrepreneur en exécution de l'obligation de garantie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5A_518/2020 précité consid. 3.1). Le délai de l'art. 839 al. 2 CC commence à courir dès l'achèvement des travaux, et non pas dès l'établissement de la facture (ATF 102 II 206 consid. 1b/aa) ; il s'ensuit que, lorsque des travaux déterminants sont encore effectués après la facturation et ne constituent pas des travaux de réparation ou de réfection consécutifs à un défaut de l'ouvrage, ils doivent être pris en compte pour</w:t>
      </w:r>
    </w:p>
    <w:p>
      <w:r>
        <w:t>- 15 - le dies a quo du délai. Le fait que l'entrepreneur présente une facture pour son travail donne toutefois à penser, en règle générale, qu'il estime l'ouvrage achevé (ATF 101 II 253 ; TF 5A_518/2020 précité consid. 3.1 et réf. cit.).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146 III 7 consid. 2.2.1 ; ATF 106 II 123 consid. 5b et c ; ATF 104 II 348 consid. II.2 ; TF 5A_689/2022 du 6 avril 2023 consid. 6.2.2).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 ATF 104 II 248 consid. II.2 ; ATF 76 II 134 consid. 1 ; TF 5A_689/2022 précité consid. 6.2.2 ; TF 5A_630/2021 précité consid. 3.3.2.4 ; TF 5D_116/2014 du 13 octobre 2014 consid. 5.2.3).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(ATF 125 III 113 consid. 3b ; ATF 111 II 343 consid. 2c ; TF 5A_630/2021 précité consid. 3.3.2.4 ; TF 5A_282/2016 du 17 janvier 2017 consid. 7.1 ; TF 5D_116/2014 du 13 octobre 2014 consid. 5.2.3).</w:t>
      </w:r>
    </w:p>
    <w:p>
      <w:r>
        <w:t>- 16 - Il appartient à l’artisan ou à l’entrepreneur d’établir – ou à tout le moins de rendre vraisemblable – que le délai de quatre mois de l’art. 839 al. 2 a été respecté ; il n’appartient donc pas au propriétaire de l’immeuble de prouver la tardiveté de l’inscription provisoire (Bovey, in Pichonnaz/Foëx/Piotet [édit.], Commentaire romand, Code civil II, Bâle 2016, n. 87 ad art. 839 CC, et les références).</w:t>
      </w:r>
    </w:p>
    <w:p>
      <w:r>
        <w:rPr>
          <w:b/>
        </w:rPr>
        <w:t>E. 3.2.3</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 En matière d’inscription provisoire d’une hypothèque légale, la jurisprudence du Tribunal fédéral est large. L’inscription ne doit être refusée, selon le Tribunal fédéral, que si le droit à l’hypothèque des artisans et entrepreneurs n’existe manifestement pas (TF 5D_116/2014 du 13 octobre 2014 consid. 5.3) ou si cette existence apparaît exclue ou hautement invraisemblable (TF 5A_475/2010 du 15 septembre 2010 consid. 3.1.2). Dans l’ATF 102 Ia 81, régulièrement cité, le Tribunal fédéral a relevé ce qui suit : « en cas de doute, quand les conditions de l’inscription sont incertaines, le juge doit ordonner l’inscription provisoire ; il suffit que le droit allégué lui paraisse exister (art. 961 al. 3 CC). Mais une certaine marge d’appréciation lui est laissée par la loi » (consid. 2 bb). Dans l’ATF 86 I 265 (JdT 1961 I 332), auquel se réfère l’ATF 102 Ia 81, le Tribunal fédéral a retenu qu’il ne fallait pas se montrer exigeant quant à la constatation selon laquelle le droit paraissait exister, puisque le requérant perdait définitivement son droit lorsque l’inscription lui était refusée dans le délai bref prévu par la loi (actuellement de quatre mois). Il a ajouté que le juge ne devait donc refuser l’inscription que lorsque le droit lui paraissait exclu ou à tout le moins très improbable (consid. 3).</w:t>
      </w:r>
    </w:p>
    <w:p>
      <w:r>
        <w:t>- 17 - On constate que la jurisprudence, si on l’interprète littéralement, n’est pas absolument univoque. C’est une chose de considérer que l’hypothèque doit être inscrite à titre provisionnel lorsque le droit paraît vraisemblable, sans se montrer exigeant à cet égard (ATF 102 Ia 81). C’en est une autre de ne refuser une telle inscription que lorsque le droit à celle-ci apparaît exclu (TF 5D_116/2014 du 13 octobre 2014 ; TF 5A_475/2010 du 15 septembre 2010). A suivre, en effet, à la lettre cette dernière conception, cela signifierait que l’hypothèque légale des artisans et entrepreneurs devrait être inscrite sur simple demande. Or, le droit à l’inscription ne peut être exclu que dans certains cas bien particuliers, lorsque, par exemple, le requérant allègue lui-même que les travaux ont été achevés à une date dont il résulte que l’échéance du délai de l’art. 839 al. 2 CC est largement dépassée, ou s’il allègue uniquement avoir fourni des matériaux. En dehors de tels cas, ce droit n’est à vrai dire jamais exclu : lorsque le juge ne dispose d’aucun élément, il n’est en aucune façon rendu vraisemblable que des travaux ont été effectués, mais cela n’est pas non plus exclu. On arrive donc, si l’on interprète à la lettre cette jurisprudence, à un résultat un peu absurde. Tout entrepreneur ou artisan qui demanderait l’inscription d’une hypothèque sur n’importe quelle parcelle, en alléguant y avoir effectué des travaux mais sans apporter le moindre élément dans ce sens, verrait sa requête admise. Le Tribunal fédéral n’a pas pu vouloir une telle solution. L’ATF 86 I 265 traitait d’une situation particulière, où la question débattue était celle de savoir si la requérante avait fourni des matériaux et du travail, ou seulement des matériaux. Lorsque la question est simplement celle de l’existence de travaux, il faut plutôt suivre l’ATF 102 Ia 81. Le droit doit paraître vraisemblable, sans qu’il y ait lieu de se montrer exigeant à cet égard. En cas de doute, lorsque l’existence des conditions de l’inscription sont incertaines, on doit ordonner l’inscription ; c’est en particulier le cas en présence d’une situation de fait ou de droit mal élucidée, méritant une instruction plus ample que celle à laquelle il peut être procédé dans le cadre d’une procédure sommaire (ATF 102 Ia 81 consid. 2b/bb ; TF 5A_420/2014 du 27 novembre 2014 consid. 2.3). Mais cela ne signifie pas qu’une inscription doit être ordonnée alors même que le requérant n’apporte aucune preuve, ni même aucun indice selon lequel il a effectué</w:t>
      </w:r>
    </w:p>
    <w:p>
      <w:r>
        <w:t>- 18 - des travaux, lorsque l’existence même de ces travaux est contestée (CACI 27 juillet 2023/300 consid. 4.2).</w:t>
      </w:r>
    </w:p>
    <w:p>
      <w:r>
        <w:rPr>
          <w:b/>
        </w:rPr>
        <w:t>E. 3.3</w:t>
      </w:r>
    </w:p>
    <w:p>
      <w:r>
        <w:t>En l’espèce, l’appelante fait valoir que les travaux effectués en février ne constituaient pas de simples retouches. Les intimés le contestent, ne remettant pas en cause l’existence de travaux en février 2022 mais leur importance. On peut suivre le premier juge quand il considère que les travaux précédents étaient terminés lors de l’envoi de la deuxième facture, à savoir celle du 30 avril 2021. Il n’est pas allégué qu’il y ait eu des travaux entre-temps. La question de savoir si l’inscription provisoire de l’hypothèque légale, intervenue le 29 avril 2022, a été effectuée en temps utile dépend donc de celle de savoir si les travaux de février 2022 constituaient ou non de simples retouches. La facture relative à ces travaux, établie par l’appelante le 18 février 2022, porte d’une part sur les « peinture complète cage d’escalier et diverses retouches finales à la maison. Y compris déplacements » dans la « villa 3 » des intimés, pour 2'000 fr. hors taxes, et d’autre part sur « diverses retouches de peinture après rhabillage des plafonds et des murs. Peinture des tuyaux de ventilation. Y compris éléments » pour l’ensemble des villas 1, 2 et 3, pour 1'000 fr. hors taxes. Ainsi, le montant facturable pour la villa (n° 3) des intimés est de 2'333 fr. 33, à savoir 2'000 fr., auxquels s’ajoutent 333 fr. 33, montant équivalent à un tiers de la somme de 1'000 fr. susmentionnée. Par conséquent, la part du montant de la facture du 18 février 2022 devant être imputée aux intimés est de 77.78 % (2'333 fr. 33 / 3'000 fr.) sur le total de 3'263 fr. 30, soit in fine de 2'538 fr. 20, TVA et participation à la taxe déchets comprises. Comme le soutiennent les intimés, il est exact que l’entrepreneur général, dans ses messages, a qualifié les travaux de février 2022 de « retouches ». En outre, à l’audience de première instance, les intimés ont contesté qu’un mur avait été entièrement peint, tout en précisant qu’ils n’étaient pas présents lors des travaux. Force est</w:t>
      </w:r>
    </w:p>
    <w:p>
      <w:r>
        <w:t>- 19 - toutefois de constater que la facture du 18 février 2022 mentionne une peinture complète de la cage d’escaliers des intimés, et que cette facture a été payée, sans que l’entrepreneur ne proteste. Il est par ailleurs vraisemblable à ce stade qu’une telle peinture entre dans le cadre du contrat impliquant pour l’appelante d’effectuer les travaux de peinture dans la villa des intimés. De plus, le montant de 2'538 fr. 20 à la charge des intimés ressortant de dite facture n’est pas négligeable en comparaison de celui résultant des deux factures précédentes dont le total est de 48'009 fr. 50. Les travaux effectués en février 2022 représentent en effet 5,02 % du total des travaux (50'547 fr. 70). Le montant de 2'538 fr. 20 n’est pas non plus négligeable en lui-même. Partant, il ressort de la facture du 18 février 2022 que les travaux effectués à la même période ne peuvent d’emblée être qualifiées de simples retouches, tant d’un point de vue quantitatif que qualitatif. Au regard de ce qui précède et compte tenu des positions opposées des parties s’agissant des travaux de février 2022, on se trouve dans un cas où la situation est mal élucidée et nécessite une instruction ou des investigations, que la procédure sommaire ne permet pas de mettre en œuvre, pour déterminer si la nature des travaux amène à considérer que le délai péremptoire de l’art. 839 al. 1 CC a été respecté. Ainsi, l'existence du droit à l'inscription définitive du gage immobilier ne paraît pas exclue ou hautement invraisemblable. Par conséquent, l’inscription provisoire de l’hypothèque légale ordonnée par mesures superprovisionnelles doit être maintenue par voie provisionnelle.</w:t>
      </w:r>
    </w:p>
    <w:p>
      <w:r>
        <w:rPr>
          <w:b/>
        </w:rPr>
        <w:t>E. 4.1</w:t>
      </w:r>
    </w:p>
    <w:p>
      <w:r>
        <w:t>En définitive, l'appel doit être admis et l’ordonnance litigieuse réformée en ce sens qu’ordre est donné au Conservateur du Registre foncier, Office de La Côte, de maintenir l’inscription provisoire de l’hypothèque légale des artisans et entrepreneurs d’un montant de 28'009 fr. 50, avec intérêt à 5 % l’an dès le 15 février 2022, en faveur de l’appelante, sur l’immeuble no [...] dont les intimés sont propriétaires sur le territoire de la Commune de [...]. Par ailleurs, un délai de trois mois est</w:t>
      </w:r>
    </w:p>
    <w:p>
      <w:r>
        <w:t>- 20 - imparti à l’appelante pour ouvrir action au fond, l’inscription provisoire restant valable jusqu’à l’expiration de ce délai ou, en cas d’action au fond, jusqu’à l’échéance d’un délai de 60 jours dès l’entrée en force du jugement au fond.</w:t>
      </w:r>
    </w:p>
    <w:p>
      <w:r>
        <w:rPr>
          <w:b/>
        </w:rPr>
        <w:t>E. 4.2.1</w:t>
      </w:r>
    </w:p>
    <w:p>
      <w:r>
        <w:t>Si l’instance d’appel statue à nouveau, elle se prononce sur les frais – soit les frais judiciaires et les dépens (art. 95 al. 1 CPC) – de la première instance (art. 318 al. 3 CPC). Compte tenu du sort de l’appel, les frais judiciaires de la procédure provisionnelle de première instance, y compris les frais du Registre foncier, seront à la charge des intimés, solidairement entre eux (art. 106 al. 1 et 3 CPC), par 1'130 francs. Ceux-ci, solidairement entre eux, verseront en outre à l’appelante 2500 fr. à titre de dépens de première instance.</w:t>
      </w:r>
    </w:p>
    <w:p>
      <w:r>
        <w:rPr>
          <w:b/>
        </w:rPr>
        <w:t>E. 4.2.2</w:t>
      </w:r>
    </w:p>
    <w:p>
      <w:r>
        <w:t>Les frais judiciaires de deuxième instance, arrêtés à 1'000 fr., à savoir 800 fr. pour l’émolument de décision relatif à l’appel (art. 65 al. 1 TFJC [Tarif des frais judiciaires civils du 28 septembre 2010 ; BLV 270.11.5]) et 200 fr. pour l’émolument de décision relatif à l’effet suspensif (art. 6 al. 3, 7 et 30 TFJC), seront mis à la charge des intimés, solidairement entre eux (art. 106 al. 1 et 3 CPC). Ceux-ci, solidairement entre eux, verseront à l’appelante la somme de 1'500 fr. à titre de dépens de deuxième instance (art. 3 al. 2 et</w:t>
      </w:r>
    </w:p>
    <w:p>
      <w:r>
        <w:rPr>
          <w:b/>
        </w:rPr>
        <w:t>E. 7</w:t>
      </w:r>
    </w:p>
    <w:p>
      <w:r>
        <w:t>TDC [Tarif des dépens en matière civile du 23 novembre 2010 ; BLV 270.11.6]), ainsi que celle de 1'000 fr. à titre de restitution de l’avance de frais de deuxième instance (art. 111 al. 2 CPC).</w:t>
      </w:r>
    </w:p>
    <w:p>
      <w:r>
        <w:t>- 21 - Par ces motifs, le Juge unique de la Cour d’appel civile prononce : I. L’appel est admis. II. L’ordonnance de mesures provisionnelles rendue le 27 juillet 2022 par le Président du Tribunal civil de l’arrondissement de La Côte est réformée comme il suit : I. ORDONNE au Conservateur du Registre foncier, Office de La Côte, de maintenir l’inscription provisoire de l’hypothèque légale des artisans et entrepreneurs inscrite sous n° [...] en faveur de N.________ SA, à [...], d’un montant de 28'009 fr. 50 (vingt-huit mille neuf francs et cinquante centime), avec intérêts à 5 % l’an dès le 15 février 2022, sur la parcelle dont A.S.________ et B.S.________ sont copropriétaires par moitié chacun sur le territoire de la commune de [...] et dont la désignation cadastrale est la suivante : Commune politique [...] Tenue du registre foncier fédérale Numéro d'immeuble [...] Forme du registre foncier fédérale E-GRID [...] Immeuble de base B-F [...] Quote-part [...] Droit exclusif [...] Sous-sol, rez-de-chaussée et étage : Appartement triplex Constituant le lot 3 des plans Observation</w:t>
      </w:r>
    </w:p>
    <w:p>
      <w:r>
        <w:t>- 22 - Feuillet de dépendance Estimation fiscale 495'000.00 2020 (07.12.2020) ; II. IMPARTIT à N.________ SA un délai de trois mois dès la notification du présent arrêt pour ouvrir action au fond ; III. DIT que l’inscription provisoire de l’hypothèque légale restera valable jusqu’à l’expiration du délai mentionné sous chiffre II ci-dessus ou, en cas d’action au fond, jusqu’à l’échéance d’un délai de soixante jours dès l’entrée en force du jugement au fond ; IV. MET les frais judiciaires de la procédure provisionnelle, arrêtés à 1'130 fr. (mille cent trente francs), y compris les frais du Registre foncier, à la charge d’A.S.________ et B.S.________, solidairement entre eux ; V. DIT qu’A.S.________ et B.S.________, solidairement entre eux, doivent verser à N.________ SA un montant de 2'500 fr. (deux mille cinq cents francs) à titre de dépens de la procédure provisionnelle. III. Les frais judiciaires de deuxième instance, arrêtés à 1'000 fr. (mille francs), sont mis à la charge des intimés A.S.________ et B.S.________, solidairement entre eux. IV. Les intimés A.S.________ et B.S.________, solidairement entre eux, verseront à l’appelante N.________ SA la somme de 2'500 fr. (deux mille cinq cents francs) à titre de restitution d’avance de frais et de dépens de deuxième instance. V. L’arrêt est exécutoire.</w:t>
      </w:r>
    </w:p>
    <w:p>
      <w:r>
        <w:t>- 23 - Le juge unique : Le greffier : Du Le présent arrêt, dont la rédaction a été approuvée à huis clos, est notifié en expédition complète à : - Me David Moinat (pour N.________ SA), - Me Philippe Rouiller (pour A.S.________ et B.S.________), et communiqué, par l'envoi de photocopies, à : - M. le Président du Tribunal civil de l’arrondissement de La Côte, - M. le Conservateur du Registre foncier, Office de La Côte.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