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JI21.054043 vom 30. August 2022</w:t>
      </w:r>
    </w:p>
    <w:p>
      <w:r>
        <w:t>VD Tribunal cantonal, 2022-08-30, FR</w:t>
      </w:r>
    </w:p>
    <w:p>
      <w:r>
        <w:rPr>
          <w:b/>
        </w:rPr>
        <w:t xml:space="preserve">Quelle: </w:t>
      </w:r>
      <w:r>
        <w:t>https://mcp.opencaselaw.ch/entscheid/vd_gerichte_JI21.054043</w:t>
      </w:r>
    </w:p>
    <w:p>
      <w:r>
        <w:t>FR: VD_GERICHTE JI21.054043 du 30 août 2022</w:t>
      </w:r>
    </w:p>
    <w:p>
      <w:r>
        <w:t>IT: VD_GERICHTE JI21.054043 del 30 agosto 2022</w:t>
      </w:r>
    </w:p>
    <w:p>
      <w:pPr>
        <w:pStyle w:val="Heading2"/>
      </w:pPr>
      <w:r>
        <w:t>Erwägungen</w:t>
      </w:r>
    </w:p>
    <w:p>
      <w:r>
        <w:rPr>
          <w:b/>
        </w:rPr>
        <w:t>E. 3</w:t>
      </w:r>
    </w:p>
    <w:p>
      <w:r>
        <w:t>- 11 -</w:t>
      </w:r>
    </w:p>
    <w:p>
      <w:r>
        <w:rPr>
          <w:b/>
        </w:rPr>
        <w:t>E. 3.1</w:t>
      </w:r>
    </w:p>
    <w:p>
      <w:r>
        <w:t>Dans un premier moyen, l’appelant fait valoir que si, dans le canton de Soleure où réside l’intimée, les allocations familiales sont de 200 fr. par enfant, lui-même a la possibilité d’obtenir 100 fr. supplémentaires dans le canton de Vaud. Il conviendrait dès lors de porter 300 fr. en déduction des charges de l’enfant B.X.________ en lieu et place des 200 fr. retenus.</w:t>
      </w:r>
    </w:p>
    <w:p>
      <w:r>
        <w:rPr>
          <w:b/>
        </w:rPr>
        <w:t>E. 3.2.1</w:t>
      </w:r>
    </w:p>
    <w:p>
      <w:r>
        <w:t>A teneur de l'art. 285 al. 1 CC (Code civil du 10 décembre 1907 ; RS 210), auquel renvoie l'art. 133 al. 1 CC, la contribution d'entretien doit correspondre aux besoins de l'enfant ainsi qu'à la situation et aux ressources des père et mère. Selon l'art. 285a al. 1 CC – en vigueur depuis le 1er janvier 2017 −,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sur les allocations familiales du 24 mars 2006 (ci-après : LAFam ; RS 836.2 ; Message du Conseil fédéral du 29 novembre 2013 concernant la révision du code civil suisse, [Entretien de l'enfant], FF 2014 pp. 511 ss, spéc. p. 559 s. ; ATF 144 V 35 consid. 5.3.1), l'art. 8 LAFam (loi fédérale sur les allocations familiales et les aides financières allouées aux organisations familiales du 24 mars 2006 ; RS 836.2) prévoyant que l'ayant droit tenu, en vertu d'un jugement ou d'une convention, de verser une contribution d'entretien pour un ou plusieurs enfants doit, en sus de ladite contribution, verser les allocations familiales ; celle-ci étant destinées exclusivement à l'entretien de l'enfant (ATF 137 III 59 consid. 4.2.3). Dans son Message relatif à l'introduction de l'art. 285a al. 1 CC, le Conseil fédéral a précisé que, de manière générale, le montant de la contribution d'entretien, une fois complété des éventuelles allocations familiales, ne doit pas dépasser le montant nécessaire pour couvrir les besoins de l'enfant. Il en résulterait sinon une contradiction avec le principe selon lequel l'entretien convenable ne doit pas excéder les besoins de l'enfant. Lors du calcul de la contribution d'entretien, il s'agit donc de déduire d'office les prestations d'assurances sociales du montant</w:t>
      </w:r>
    </w:p>
    <w:p>
      <w:r>
        <w:t>- 12 - correspondant aux besoins de l'enfant (FF 2014 511 p. 559). L'art. 285a al. 1 CC permet ainsi d'éviter de devoir agir en modification de la contribution d'entretien en cas de changement ultérieur de l'ayant droit des allocations familiales (dans ce sens FF 2014 p. 511 spéc. 559 in fine).</w:t>
      </w:r>
    </w:p>
    <w:p>
      <w:r>
        <w:rPr>
          <w:b/>
        </w:rPr>
        <w:t>E. 3.2.2</w:t>
      </w:r>
    </w:p>
    <w:p>
      <w:r>
        <w:t>Selon l’art. 3 al. 2 LAFam, les cantons peuvent notamment prévoir dans leur régime d’allocations familiales une allocation de naissance ; les dispositions de la loi sont également applicables à cette allocation. Dans le canton de Vaud, l’art. 3 al. 3 LVLAFam (loi d’application de la loi fédérale sur les allocations familiales et sur des prestations cantonales en faveur de la famille du 23 septembre 2008 ; BLV 836.01) prévoit qu’une allocation de naissance d’un montant de 1'500 fr. au minimum est versée aux conditions prévues par le droit fédéral.</w:t>
      </w:r>
    </w:p>
    <w:p>
      <w:r>
        <w:rPr>
          <w:b/>
        </w:rPr>
        <w:t>E. 3.3</w:t>
      </w:r>
    </w:p>
    <w:p>
      <w:r>
        <w:t>; TF 5A_780/2015 du 10 mai 2016 consid. 3.6 ; TF 5A_454/2017 du 17 mai 2018 consid. 5.3, non publié à l'ATF 144 III 377).</w:t>
      </w:r>
    </w:p>
    <w:p>
      <w:r>
        <w:rPr>
          <w:b/>
        </w:rPr>
        <w:t>E. 3.3.1</w:t>
      </w:r>
    </w:p>
    <w:p>
      <w:r>
        <w:t>En l’espèce, il ressort de la décision rendue le 10 mai 2022 par le Service des allocations familiales du Centre patronal vaudois que l’appelant perçoit effectivement des « allocations familiales différentielles » de 100 fr. par mois, avec effet à partir du 1er octobre 2021. L’intimée perçoit quant à elle les 200 autres francs. Le grief de l’appelant est dès lors fondé. Dans la mesure où les allocations familiales sont dues en plus, le montant de la contribution, telle que l’a calculée le premier juge, doit être réduit de 100 francs.</w:t>
      </w:r>
    </w:p>
    <w:p>
      <w:r>
        <w:rPr>
          <w:b/>
        </w:rPr>
        <w:t>E. 3.3.2</w:t>
      </w:r>
    </w:p>
    <w:p>
      <w:r>
        <w:t>Il ressort aussi de la décision précitée que l’appelant a perçu pour la naissance de son fils une allocation de 1'500 francs. L’allocation de naissance fait partie comme on l’a vu ci-dessus des allocations familiales. Le montant de 1'500 fr. est donc également dû en sus de la contribution d’entretien. S’agissant d’allocations familiales proprement dites, il n’y aurait pas lieu de modifier le chiffre III du dispositif de l’ordonnance attaquée, puisque celui-ci en prévoit déjà le versement.</w:t>
      </w:r>
    </w:p>
    <w:p>
      <w:r>
        <w:t>- 13 - Pour plus de clarté, le chiffre III du dispositif sera néanmoins complété en ce sens que les allocations familiales dues par l’appelant comprennent l’allocation de naissance.</w:t>
      </w:r>
    </w:p>
    <w:p>
      <w:r>
        <w:rPr>
          <w:b/>
        </w:rPr>
        <w:t>E. 4.1</w:t>
      </w:r>
    </w:p>
    <w:p>
      <w:r>
        <w:t>L’appelant conteste le montant de 900 fr. comptabilisé dans les coûts directs de l’enfant B.X.________ à titre de frais mensuels de garde.</w:t>
      </w:r>
    </w:p>
    <w:p>
      <w:r>
        <w:rPr>
          <w:b/>
        </w:rPr>
        <w:t>E. 4.2.1</w:t>
      </w:r>
    </w:p>
    <w:p>
      <w:r>
        <w:t>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t>- 14 -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4.2.2.1</w:t>
      </w:r>
    </w:p>
    <w:p>
      <w:r>
        <w:t>Dans un arrêt récent (ATF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(consid. 6.6 in fine).</w:t>
      </w:r>
    </w:p>
    <w:p>
      <w:r>
        <w:rPr>
          <w:b/>
        </w:rPr>
        <w:t>E. 4.2.2.2</w:t>
      </w:r>
    </w:p>
    <w:p>
      <w:r>
        <w:t>Les Lignes directrices pour le calcul du minimum vital du droit des poursuites selon l’art. 93 LP édictées par la Conférence des préposés</w:t>
      </w:r>
    </w:p>
    <w:p>
      <w:r>
        <w:t>- 15 -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4.2.2.3</w:t>
      </w:r>
    </w:p>
    <w:p>
      <w:r>
        <w:t>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Toutefois, s’il ne reste qu’un très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(Stoudmann, Le divorce en</w:t>
      </w:r>
    </w:p>
    <w:p>
      <w:r>
        <w:t>- 16 - pratique, Entretien du conjoint et des enfants, Partage de la prévoyance professionnelle, Lausanne 2021, p. 149 et la référence citée à la note infrapaginale 539).</w:t>
      </w:r>
    </w:p>
    <w:p>
      <w:r>
        <w:rPr>
          <w:b/>
        </w:rPr>
        <w:t>E. 4.3</w:t>
      </w:r>
    </w:p>
    <w:p>
      <w:r>
        <w:t>En l’espèce, le premier juge a retenu sur la base du contrat de placement de l’enfant B.X.________ et la facture du mois de mars 2022 de la garderie [...] que ses frais mensuels de garde étaient de l’ordre de 900 francs. Ce montant a été intégré aux coûts d’entretien, par 1'550 fr., mis intégralement à la charge de l’appelant à compter du 1er décembre 2021. Dans sa réponse du 13 juillet 2022, l’intimée reconnaît qu’en décembre 2021 et janvier 2022, il n’y a pas eu de frais de garde et qu’en février 2022 B.X.________ a fait une journée d’adaptation à la crèche facturée 160 francs. Il ressort des factures produites en appel que depuis le 1er mars 2022, il passe chaque semaine une journée et une demi- journée avec repas à la crèche, pour un montant total de 911 fr. par mois. Les autres postes afférents aux coûts directs de B.X.________ ne sont pas contestés par l’appelant. Ils apparaissent corrects et peuvent être confirmés, de sorte que ses coûts mensuels directs, admis au demeurant par l’intimée dans sa réponse à l’appel, se présentent comme suit : Décembre 2021 Février 2022 Dès le 1er et janvier 2022 mars 2022 - Base mensuelle 400.00 400.00 400.00 d’entretien - Part au loyer de 115.00 115.00 115.00 sa mère (10%) - Prime 134.00 134.00 134.00 d’assurance- maladie LAMal - Frais de garde 00.00 160.00 911.00 Total MV 649.00 809.00 1'560.00 ./. Allocations 300.00 300.00 300.00</w:t>
      </w:r>
    </w:p>
    <w:p>
      <w:r>
        <w:t>- 17 - familiales Total coûts 349.00 509.00 1'260.00 directs La contribution mise à la charge de l’appelant pour l’entretien de son fils B.X.________ doit ainsi être fixée à 349 fr. pour les mois de décembre 2021 et janvier 2022, à 509 fr. pour le mois de février 2022 et à 1'260 fr. à compter du mois de mars 2022. Le chiffre III du dispositif de l’ordonnance attaquée sera réformé en conséquence.</w:t>
      </w:r>
    </w:p>
    <w:p>
      <w:r>
        <w:rPr>
          <w:b/>
        </w:rPr>
        <w:t>E. 4.4.1</w:t>
      </w:r>
    </w:p>
    <w:p>
      <w:r>
        <w:t>L’appelant conclut à ce que les montants soient fixés « sous déduction des montants déjà versés ». L’intimée expose que l’appelant s’est déjà acquitté d’un montant total de 10'600 fr., produit des pièces à l’appui de cet exposé et indique que le trop-perçu sera imputé sur les prochaines contributions.</w:t>
      </w:r>
    </w:p>
    <w:p>
      <w:r>
        <w:rPr>
          <w:b/>
        </w:rPr>
        <w:t>E. 4.4.2</w:t>
      </w:r>
    </w:p>
    <w:p>
      <w:r>
        <w:t>Selon la jurisprudence, si le débirentier prétend avoir déjà versé des prestations d'entretien au créditrentier depuis la séparation, il appartient au juge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consid. 6.1.2, commenté par Nicolas Pellaton, Validité d'un jugement de mesures protectrices en tant que titre de mainlevée, Droit matrimonial – Newsletter, octobre 2012 ; TF 5A_428/2012 du 20 septembre 2012 consid.</w:t>
      </w:r>
    </w:p>
    <w:p>
      <w:r>
        <w:t>- 18 -</w:t>
      </w:r>
    </w:p>
    <w:p>
      <w:r>
        <w:rPr>
          <w:b/>
        </w:rPr>
        <w:t>E. 4.4.3</w:t>
      </w:r>
    </w:p>
    <w:p>
      <w:r>
        <w:t>En l’espèce, on constate que le premier juge s’est borné à réserver dans le dispositif de l’ordonnance l’imputation des prestations déjà versées sans en chiffrer le montant, celui-ci ne pouvant davantage être déduit des motifs de l’ordonnance attaquée. Il ressort de l’extrait de compte bancaire produit par l’intimée que l’appelant s’est d’ores et déjà acquitté de la somme totale de 10'600 fr. au 28 juin 2022. Il convient dès lors de porter ce montant en déduction des contributions arrêtées dans le présent arrêt. 5. 5.1 En conclusion, l’appel doit être partiellement admis et le chiffre III du dispositif de l’ordonnance attaquée réformée dans le sens des considérants qui précèdent. 5.2 Vu l’issue de la procédure d’appel, les frais judiciaires de deuxième instance, arrêtés à 600 fr. (art. 65 al. 2 TFJC [tarif des frais judiciaires civils du 28 septembre 2010 ; BLV 270.11.5), seront supportés à parts égales par les parties (art. 106 al. 2 CPC) et laissés provisoirement à la charge de l’Etat en ce qui concerne l’intimée, celle-ci plaidant au bénéfice de l’assistance judiciaire (art. 122 al. 1 let. b CPC). Les dépens seront compensés. 5.3 5.3.1 Aux termes de l'art. 122 al. 1 let. a CPC, le conseil juridique commis d'office est rémunéré équitablement par le canton. Cette notion aux contours imprécis doit permettre aux cantons de fixer, sur la base d’un large pouvoir d’appréciation (TF 5A_82/2018 du 15 juin 2018 consid. 6.2.1 et les arrêts cités), le montant de l’indemnité allouée au conseil</w:t>
      </w:r>
    </w:p>
    <w:p>
      <w:r>
        <w:t>- 19 - d’office dans les limites de leur tarif des frais (art. 96 CPC) (Rüegg, Basler Kommentar, 3e éd. 2013, n. 5 à 7 ad art. 122 CPC, pp. 739-741). Pour fixer la quotité de l’indemnité du conseil d’office, l’autorité cantonale doit s’inspirer des critères applicables à la modération des honoraires d’avocat (Donzallaz, Loi sur le Tribunal fédéral, Commentaire, 2008, n. 1775 ad art. 64 LTF ; ATF 122 l 1 consid. 3a).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précité ; ATF 117 la 22 précité consid. 4c et les réf. cit.). 5.3.2 Me Thomas Büchli, conseil d’office de l’intimée, a produit une liste des opérations faisant état de 7 heures et 30 minutes consacrées à la procédure d’appel. Ce décompte peut être admis de sorte qu’au tarif horaire de 180 fr. pour l’avocat (art 2 al. 1 let. a RAJ [règlement sur l’assistance judiciaire en matière civile du</w:t>
      </w:r>
    </w:p>
    <w:p>
      <w:r>
        <w:rPr>
          <w:b/>
        </w:rPr>
        <w:t>E. 7</w:t>
      </w:r>
    </w:p>
    <w:p>
      <w:r>
        <w:t>décembre 2010 ; BLV 211.02.3]), cela représente une indemnité de 1'350 fr., montant auquel s’ajoutent les débours se montant à 2% du défraiement hors taxe en deuxième instance judiciaire (art. 3bis al. 1 RAJ), par 27 fr., et la TVA sur l’ensemble, par 106 fr., soit une indemnité totale de 1'483 francs. 5.3.3 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w:t>
      </w:r>
    </w:p>
    <w:p>
      <w:r>
        <w:t>- 20 - 39a CDPJ [Code de droit privé judiciaire vaudois du 12 janvier 2010 ; BLV 121.02]). Par ces motifs, le Juge unique de la Cour d’appel civile prononce : I. L’appel est partiellement admis. II. L’ordonnance est réformée au chiffre III de son dispositif comme il suit : III. dit que P.________ doit contribuer à l’entretien de son fils B.X.________ par le régulier versement d’une pension mensuelle de 349 fr. (trois cent quarante-neuf francs) dès le 1er décembre 2021, de 509 fr. (cinq cent neuf francs) dès le 1er février 2022 et de 1'260 fr. (mille deux cent soixante francs) dès le 1er mars 2022, allocations familiales, y compris l’allocation de naissance, non comprises et dues en sus, payable d’avance le premier de chaque mois, en mains de A.X.________, sous déduction des contributions déjà versées au 28 juin 2022 pour un montant total de 10'600 fr. (dix mille six cents francs). L’ordonnance est confirmée pour le surplus. III. Les frais judiciaires de deuxième instance, arrêtés à 600 fr. (six cents francs), sont mis à la charge de l’appelant P.________ par 300 fr. (trois cents francs) et à la charge de l’intimée A.X.________ par 300 fr. (trois cents francs), ces derniers étant provisoirement supportés par l’Etat. IV. Les dépens sont compensés. V. L’indemnité d’office de Me Thomas Büchli, conseil de l’intimée A.X.________, est arrêtée à 1'483 fr. (mille quatre cent huitante- trois francs), TVA et débours compris.</w:t>
      </w:r>
    </w:p>
    <w:p>
      <w:r>
        <w:t>- 21 - VI. L’intimée A.X.________, bénéficiaire de l’assistance judiciaire, est tenue au remboursement des frais judiciaires et de l’indemnité à son conseil d’office, laissés provisoirement à la charge de l’Etat, dès qu’elle sera en mesure de le faire (art. 123 CPC). VII. L’arrêt est exécutoire. Le juge unique : La greffière : Du Le présent arrêt, dont la rédaction a été approuvée à huis clos, est notifié en expédition complète à : - Me Franck Ammann (pour P.________), - Me Thomas Büchli (pour A.X.________),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