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JI21.052648 vom 11. Juli 2022</w:t>
      </w:r>
    </w:p>
    <w:p>
      <w:r>
        <w:t>VD Tribunal cantonal, 2022-07-11, FR</w:t>
      </w:r>
    </w:p>
    <w:p>
      <w:r>
        <w:rPr>
          <w:b/>
        </w:rPr>
        <w:t xml:space="preserve">Quelle: </w:t>
      </w:r>
      <w:r>
        <w:t>https://mcp.opencaselaw.ch/entscheid/vd_gerichte_JI21.052648</w:t>
      </w:r>
    </w:p>
    <w:p>
      <w:r>
        <w:t>FR: VD_GERICHTE JI21.052648 du 11 juillet 2022</w:t>
      </w:r>
    </w:p>
    <w:p>
      <w:r>
        <w:t>IT: VD_GERICHTE JI21.052648 del 11 luglio 2022</w:t>
      </w:r>
    </w:p>
    <w:p>
      <w:pPr>
        <w:pStyle w:val="Heading2"/>
      </w:pPr>
      <w:r>
        <w:t>Erwägungen</w:t>
      </w:r>
    </w:p>
    <w:p>
      <w:r>
        <w:rPr>
          <w:b/>
        </w:rPr>
        <w:t>E. 19</w:t>
      </w:r>
    </w:p>
    <w:p>
      <w:r>
        <w:t>mars 2020 consid. 3).</w:t>
      </w:r>
    </w:p>
    <w:p>
      <w:r>
        <w:t>- 13 - L'instance d'appel dispose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précité consid. 4.3.1 ; TF 4A_238/2015 du 22 septembre 2015 consid. 2.2, RSPC 2016 p. 46). Compte tenu de ce pouvoir, le juge d'appel est libre de porter une autre appréciation que l'autorité de première instance sans avoir à justifier de motifs particuliers. Le seul fait que les preuves aient été appréciées différemment ne suffit pas encore à établir un arbitraire (TF 4D_72/2017 du 19 mars 2018 consid. 2). 2.2 La maxime inquisitoire illimitée de l’art. 296 CPC est applicable à toutes les procédures du droit de famille concernant le sort des enfants. Par ailleurs,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à cet effet vrais et faux nova. Les vrais nova sont des faits ou moyens de preuve qui ne sont nés qu’après la fin de l’audience de débats principaux de première instance ; ils sont recevables</w:t>
      </w:r>
    </w:p>
    <w:p>
      <w:r>
        <w:t>- 14 -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(art. 296 al. 1 CPC), il convient toutefois de considérer que l'application stricte de l'art. 317 al. 1 CPC n'est pas justifiée et que les parties peuvent présenter des faits et moyens de preuve nouveaux en appel même si les conditions de l'art. 317 al. 1 CPC ne sont pas réunies (ATF 144 III 349 consid. 4.2.1 et réf. citées). 2.3.2 En l’espèce, les quatre pièces produites par l’appelant à l’appui de son appel ne sont pas nouvelles et partant recevables. En effet, elles ont toutes été produites au dossier de la cause avant ou à l’audience du 17 février 2022. La première pièce est une copie de l’ordonnance de mesures superprovisionnelles rendue le 15 décembre 2021 par la présidente. La deuxième est une copie du procès-verbal de l’audience du 17 février 2022. La troisième pièce est une copie d’un rapport de signalement du 13 décembre 2021 établi par la psychothérapeute Q.________. Quant à la dernière pièce, il s’agit d’un courriel adressé le 16 février 2022 par la psychologue-psychothérapeute FSP [...] à Me Romain Kramer et à l’appelant.</w:t>
      </w:r>
    </w:p>
    <w:p>
      <w:r>
        <w:t>- 15 - L’appelant mentionne également des faits nouveaux en appel concernant des événements survenus dans les jours qui ont suivi l’audience du 17 février 2022. Il s’agit de la réception par l’appelant de messages téléphoniques adressés par l’intimée lorsque celle-ci exerçait la garde de leur fille, ces messages suggérant selon lui une consommation abusive d’alcool par la mère, ainsi que les déclarations qui auraient été faites par l’enfant à son retour de chez sa mère au fils de l’épouse de l’appelant, déclarations qui feraient état d’une consommation excessive d’alcool de la part de l’intimée. Ces faits sont nouveaux par rapport à la décision entreprise. Ils constituent de vrais nova et sont donc recevables compte tenu notamment de la maxime inquisitoire illimitée applicable en la matière. Il en sera tenu compte dans leur mesure utile et pour autant que ces faits soient établis. A l’appui de sa requête de mesures superprovisionnelles et provisionnelles du 31 mai 2022, l’appelant évoque la crise d’angoisse qu’aurait eue B.R.________ le 15 mai 2022 au soir, liée à sa peur du comportement adopté par l’intimée lorsqu’elle consommerait de l’alcool. Il mentionne également son rendez-vous avec la pédiatre de l’enfant, la dresse M.________, pièce à l’appui, qui aurait pu confirmer l’existence d’une véritable angoisse et d’une relation difficile avec l’intimée. Ces faits et ces pièces sont nouveaux par rapport à la décision entreprise et constituent de vrais nova. Ils sont ainsi recevables pour le même motif que celui qui a été retenu supra. 2.3.3 Quant aux faits nouveaux allégués par l’intimée et aux pièces produites par celle-ci, compte tenu notamment de la maxime inquisitoire illimitée applicable en la matière, ceux-ci sont recevables et il en sera tenu compte dans la mesure utile. 3. Après avoir rappelé les éléments factuels qu’il estime pertinents pour le traitement de son appel, l’appelant reproche à la présidente de s’être écartée de l’art. 298d al. 1 CC, soit de ne pas avoir tenu compte du bien de l’enfant au moment de ratifier la convention</w:t>
      </w:r>
    </w:p>
    <w:p>
      <w:r>
        <w:t>- 16 - passée par les parties à l’audience du 17 février 2022. L’appelant estime que l’autorité précédente n’aurait pas évalué à sa juste mesure le degré d’addiction à l’alcool de l’intimée et les dangers que cette consommation était susceptible de faire courir à l’enfant lorsque sa mère en avait la garde. Il allègue ensuite que l’intimée aurait eu une consommation abusive d’alcool alors qu’elle assumait la garde de leur fille après l’audience du 17 février 2022. L’appelant s’en serait aperçu en lisant les messages « décousus » qui lui auraient été adressés par l’intimée. L’enfant se serait également confiée en pleurs auprès du fils de l’épouse de l’appelant à ce sujet. L’appelant fait ainsi valoir que la nouvelle réglementation instaurée par la convention ratifiée par l’autorité de première instance pour valoir ordonnance de mesures provisionnelles serait contraire au bien de l’enfant. Invoquant la jurisprudence, il soutient que l’autorité parentale et la garde exclusive de l’enfant devraient lui être attribuées pour préserver la sécurité et le bien-être de B.R.________ compte tenu de la dépendance à l’alcool de l’intimée qui la mettrait en danger. 4. 4.1 4.1.1 L'autorité parentale conjointe est désormais la règle, et ce indépendamment de l'état civil des parents (art. 296 al. 2, 298a al. 1, 298b al. 2 et 298d al. 1 CC ; ATF 142 III 1 consid. 3.3, 56 consid. 3 ; TF 5A_194/2020 du 5 novembre 2020 consid. 3.1 ; TF 5A_489/2019 du 24 août 2020 consid. 4.1).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attribuer l’autorité parentale à un seul parent (ATF 111 II 223, JdT</w:t>
      </w:r>
    </w:p>
    <w:p>
      <w:r>
        <w:t>- 17 - 1988 I 230 ; TF 5A_69/2011 du 27 février 2012 consid. 2.1, in FamPra.ch 2012 p. 817 ; TF 5A_456/2010 du 21 février 2011 consid. 3, RMA 2011 p. 294).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(ATF 142 III 1 précité consid. 3.3 ; ATF 141 III 472 consid. 4.3 et 4.7 ; TF 5A_194/2020 précité consid. 3 ; TF 5A_489/2019 précité consid. 4.1).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142 III 1 précité consid. 3 ; ATF 141 III 472 précité consid. 4 ; cf. CCUR 8 septembre 2015/215 : refus d’attribution d’autorité parentale conjointe par voie de mesures provisionnelles ; CACI 27 août 2015/446 ; CCUR 12 novembre 2015/277 : question religieuse, due à l’appartenance du père aux Témoins de Jéhova, ne justifie pas de s’écarter de l’attribution conjointe de l’autorité parentale). 4.1.2 Aux termes de l’art. 298 al. 2ter CC, lorsque l’autorité parentale est exercée conjointement, le juge examine, selon le bien de l’enfant, la possibilité de la garde alternée, si le père, la mère ou l’enfant la demande.</w:t>
      </w:r>
    </w:p>
    <w:p>
      <w:r>
        <w:t>- 18 - Bien que l'autorité parentale conjointe soit désormais la règle et qu'elle comprenne le droit de déterminer le lieu de résidence de l'enfant (art. 296 al. 2 et 301a al. 1 CC ; ATF 142 III 56 consid. 3 ; ATF 142 III 1 précité consid. 3.3), elle n'implique pas nécessairement l'instauration d'une garde alternée (TF 5A_266/2015 précité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précité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w:t>
      </w:r>
    </w:p>
    <w:p>
      <w:r>
        <w:t>- 19 - d'espèce (ATF 142 III 617 précité consid. 3.2.3 ; TF 5A_66/2019 du 5 novembre 2019 consid. 4.1 ; TF 5A_794/2017 du 7 février 2018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précité consid. 3.2.3 ; TF 5A_682/2020 du 21 juin 2021 consid. 2.1 ; TF 5A_11/2020 du 13 mai 2020 consid. 3.3.3.1 et les réf. citées ; TF 5A_793/2020 du 24 février 2021 consid. 5.1.2 ; TF 5A_991/2019 du 19 janvier 2021 consid. 5.1.2).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w:t>
      </w:r>
    </w:p>
    <w:p>
      <w:r>
        <w:t>- 20 -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précité consid. 3.2.3 ; ATF 142 III 612 précité consid. 4.3 ; TF 5A_11/2020 précité consid. 3.3.3.1 et les réf. citées ; TF 5A_534/2019 du 31 janvier 2020 consid. 3.1 ; TF 5A_991/2019 précité consid. 5.1.2).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TF 5A_682/2020 précité consid. 2.1 ; TF 5A_793/2020 précité consid. 5.1.2 ; TF 5A_844/2019 du 17 septembre 2020 consid. 3.2 ; TF 5A_821/2019 du 14 juillet 2020 consid. 4.3 ; TF 5A_11/2020 précité consid. 3.3.3.1 ; TF 5A_534/2019 précité ; TF 5A_66/2019 précité consid. 4.1 ; TF 5A_200/2019 du 29 janvier 2020 consid. 3.1.2).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 Juge délégué CACI 6 août 2014/420 ; Juge délégué CACI 23 juillet 2020 /317). 4.1.3 Toute modification dans l'attribution de l'autorité parentale ou de la garde suppose que la nouvelle réglementation soit requise dans l'intérêt de l'enfant en raison de la survenance de faits nouveaux essentiels. En d'autres termes, une nouvelle réglementation de l'autorité parentale, respectivement de l'attribution de la garde, ne dépend pas</w:t>
      </w:r>
    </w:p>
    <w:p>
      <w:r>
        <w:t>- 21 - seulement de l'existence de circonstances nouvelles importantes ; elle doit aussi être commandée par le bien de l'enfant (TF 5A_228/2020 du 3 août 2020 consid. 3.1 ; TF 5A_756/2019 du 13 février 2020 consid. 3.1.1 ; TF 5A_406/2018 du 26 juillet 2018 consid. 3.1 ; TF 5A_922/2016 du 14 juillet 2017 consid. 2.1). Selon la jurisprudence,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5A_433/2020 du 15 décembre 2020 consid. 3.1 ; TF 5A_228/2020 précité consid. 3.1 ; TF 5A_848/2018 du 16 novembre 2018 consid. 5.1.2 ; TF 5A_781/2015 du 14 mars 2016 consid. 3.2.2). A l'inverse, cela ne signifie aucunement que l'absence d'investissement dans l'éducation de l'enfant de la part du parent non gardien constitue à elle seule un motif pour justifier un changement dans l’attribution de l’autorité parentale (TF 5A_433/2020 précité consid. 3.4). 4.2 S’agissant d’une convention passée par des parents non mariés et portant sur le sort de l’enfant ou sur l’entretien de l’enfant, le juge doit contrôler que les conditions des art. 279ss CPC, applicables par analogie, sont réalisées (CCUR 12 décembre 2019/229 ; CCUR 10 janvier 2017/2 ; CCUR 25 juillet 2016/158). Selon l'art. 279 CPC, le tribunal ratifie la convention sur les effets du divorce après s'être assuré que les époux l'ont conclue après mûre réflexion et de leur plein gré, qu'elle est claire et complète, et qu'elle n'est manifestement pas inéquitable. La ratification est ainsi subordonnée à cinq conditions : la mûre réflexion des époux, leur libre volonté, le caractère clair de la convention, son caractère complet et l'absence d'une inéquité manifeste (TF 5A_74/2014 du 5 août 2014 consid. 2 ; TF 5A_187/2013 du 4 octobre 2013 consid. 5). L'exigence que la convention ne soit pas manifestement inéquitable est un garde-fou destiné à éviter la ratification de conventions léonines ou spoliatrices. En pratique, elle ne concerne toutefois pas les accords au sujet des questions relatives aux</w:t>
      </w:r>
    </w:p>
    <w:p>
      <w:r>
        <w:t>- 22 - enfants, pour lesquelles le juge dispose de pouvoirs plus étendus. Dans ce domaine, il ne ratifiera les accords des parents que s'ils sont compatibles avec le bien de l'enfant et dispose, comme indiqué ci-dessus, d'un large pouvoir d'appréciation et d'investigation (art. 296 CPC), les solutions retenues par les parents ne devant être écartées que pour des motifs sérieux (TF 5A_683/2014 du 18 mars 2015 consid. 5.1). 5. 5.1 Il ressort des écritures déposées par les parties en procédure qu’elles ont entretenu une relation amoureuse dès le mois de décembre 2015 et se sont séparées en février 2020. Une fille, B.R.________, née le [...] 2017, est issue de cette relation (P. 1). A la séparation des parties, celles-ci sont convenues d’assumer la garde de leur fille de manière alternée. Faisant valoir des inquiétudes quant à la prise en charge de l’enfant par la mère dont il suspectait une consommation abusive et récurrente d’alcool, ainsi que le signalement que la psychothérapeute Q.________ entendait établir, l’appelant a déposé une requête de mesures superprovisionnelles et provisionnelles le 13 décembre 2021 devant l’autorité précédente. Par voie de mesures superprovisionnelles, il a requis la garde exclusive de sa fille ainsi que la limitation des relations personnelles entre l’enfant et sa mère, ce qui lui a été accordé selon ordonnance du 15 décembre 2021. En l’occurrence, la quasi-totalité des éléments factuels allégués par l’appelant en appel était parfaitement connue lors de l’audience du 17 février 2022, soit au moment où les parties ont passé leur convention. Assisté d’un avocat, l’appelant a donc signé cette convention en toute connaissance de cause. Il ne fait du reste valoir aucune circonstance personnelle qui l’autoriserait à remettre en question son accord, se contentant de reprocher à la présidente d’avoir ratifié de manière erronée une convention dont il a lui-même participé concrètement à l’élaboration. Quant aux nouveaux faits allégués en appel, pour autant qu’ils soient établis, ce qui n’est pas le cas en l’espèce faute d’élément objectif à disposition, ceux-ci ne sont pas suffisants pour remettre en cause la</w:t>
      </w:r>
    </w:p>
    <w:p>
      <w:r>
        <w:t>- 23 - pertinence et l’adéquation de la décision querellée. En effet, au dossier figurent des attestations de psychothérapeutes en lien avec des suivis réalisés par chacune des parties (P. 15 et 101). Figure également et notamment au dossier une attestation médicale du 14 février 2022 certifiant l’absence d’absorption de boisson alcoolisée par l’intimée durant les deux semaines qui précédaient et précisant que les mêmes résultats avaient déjà été mesurés en décembre 2021 (P. 142). Sans sous-estimer les difficultés relationnelles que rencontrent les parties, le dossier comporte toute une série de messages qui démontrent, pour autant que les parents accomplissent les efforts raisonnables qui peuvent être attendus d’eux, que ces derniers sont parfaitement en mesure de s’organiser dans le cadre de la prise en charge de leur fille, l’appelant assumant au surplus une part de responsabilité dans la détérioration de ses relations avec l’intimée en plaçant notamment celle-ci devant le fait accompli (P. 114 et 138). En dehors des réticences évidentes de l’appelant et malgré les éléments qu’il rapporte susceptibles de constituer des indices en lien avec une inadéquation de la mère dans la prise en charge de l’enfant, aucun élément suffisant ne justifie encore, à ce stade, de renoncer à la poursuite de la garde alternée qui a été mise en œuvre par les parties au moment de leur séparation, compte tenu du suivi addictologique poursuivi par l’intimée et du travail de coparentalité que les parties se sont engagées à effectuer, étant précisé que la décision querellée a été prise à titre de mesures provisionnelles et qu’elle est par conséquent susceptible d’être revue en tout temps en cas d’élément nouveau important. En particulier, il ressort des courriels de la psychothérapeute Q.________ que le signalement qu’elle avait établi à l’égard de la fille des parties à la fin de l’année 2021 sur la base des seules déclarations de l’appelant n’est plus d’actualité, les recommandations de la thérapeute pour une prise en charge de l’enfant auprès de la fondation As’trame et pour un travail des parents sur leur coparentalité ayant été formalisées dans la convention, respectivement dans la décision querellée (cf. courriel du 27 janvier 2022, P. 139). En définitive, on comprend ainsi des éléments figurant au dossier que les parties possèdent les ressources nécessaires pour</w:t>
      </w:r>
    </w:p>
    <w:p>
      <w:r>
        <w:t>- 24 - s’adresser à des tiers en cas de difficulté et qu’ils parviennent à s’organiser pour la prise en charge de leur fille, aucun blocage ne pouvant être mis en avant du côté de la mère de l’enfant à tout le moins. La convention ratifiée par l’autorité de première instance mentionne expressément l’engagement de l’intimée à poursuivre le suivi en addictologie pour une durée de 6 mois dès le mois de mars 2022. Les parties sont également tenues de faire suivre leur fille auprès de la Fondation As’tram et d’entreprendre un travail sur leur coparentalité auprès de la structure de médiation familiale Accord Famille, selon la convention passée en audience, la présidente reprenant ainsi les recommandations de la psychothérapeute Q.________ à l’origine du signalement de l’enfant auprès des autorités de protection en date du 13 décembre 2021. Même si les deux institutions n’ont pas pu être consultées par les parties, il ressort de leurs démarches qu’elles ont trouvé d’autres organismes susceptibles d’assurer un suivi identique. Outre l’organisation de la prise en charge de l’enfant par les parties sur la base d’une garde alternée, la convention a également réglé la question de la contribution d’entretien. Dans ces conditions, il n’apparaît pas que l’autorité de première instance ait négligé le moindre élément important au moment de procéder à la ratification de la convention passée par les parties à son audience. Bien au contraire, cette autorité était manifestement particulièrement bien renseignée au moment de statuer. Surtout, au vu de l’ensemble des éléments à disposition, l’audition de l’enfant de 4 ans n’apparaissait pas nécessaire, ce d’autant qu’aucune des parties ne l’a réclamée lors de l’audience du 17 février 2022. De même, la problématique exposée par l’appelant en appel au sujet de l’exercice de la garde de l’enfant par l’intimée n’est objectivée, à ce stade, par aucun élément et apparaît relever d’un événement ponctuel qui n’est pas suffisant pour remettre en question le principe même de la réglementation instaurée, étant rappelé que la garde alternée s’exerce depuis le mois de février 2020. Au surplus, comme déjà indiqué précédemment, cette ordonnance a un caractère provisoire et peut donc être revue en cas d’élément nouveau important. La procédure devra également encore faire l’objet d’une décision finale, probablement en fonction du travail de coparentalité que les parties se sont engagées à effectuer. Enfin, étant</w:t>
      </w:r>
    </w:p>
    <w:p>
      <w:r>
        <w:t>- 25 - donné la prise en charge de l’enfant qui doit avoir lieu par la thérapeute B.________, il apparaît que la fille des parties pourra ainsi bénéficier des compétences d’une professionnelle auprès de qui elle aura notamment la possibilité d’exprimer ses difficultés et trouver le cas échéant le soutien nécessaire pour y faire face. 5.2 Quant aux faits exposés par l’appelant dans sa requête de mesures superprovisionnelles et provisionnelles du 31 mai 2022, ce second épisode ne justifie pas non plus, à ce stade, de revoir la convention passée entre les parties à l’audience du 17 février 2022, ce d’autant que la Dresse M.________ s’est basée essentiellement sur les déclarations de l’appelant, comme cela avait déjà été le cas lorsque Q.________ avait fait un signalement le 13 décembre 2021. Les angoisses de l’enfant telles que décrites dans la requête du 31 mai 2022 n’atteignent pas un degré suffisant pour justifier de remettre en cause la convention passée entre les parties, ce d’autant qu’elle peut dorénavant bénéficier d’un suivi individualisé auprès de la thérapeute B.________. Enfin, il est relevé que la pédiatre n’a finalement pas procédé au signalement expressément demandé par l’appelant, ce qui prouve encore une fois qu’il n’y avait pas d’urgence suffisante à ce stade. Ces éléments nouveaux ne justifient dès lors pas de revoir la convention passée entre les parties. 6. 6.1 Au vu ce qui précède, l’appel apparaît manifestement infondé et doit être rejeté selon le mode procédural de l’art. 312 al. 1 in fine CPC. Quant au sort des conclusions prises par l’appelant à l’appui de sa requête de mesures provisionnelles du 31 mai 2022, elles doivent être rejetées. 6.2 Les frais judiciaires sont fixés et répartis d’office (art. 105 al. 1 CPC), selon le tarif des frais cantonal (art. 96 CPC). Vu l’issue du litige, les frais judiciaires de deuxième instance, arrêtés à 800 fr. au total, soit 600 fr. pour l’appel et 200 fr. pour la requête mesures superprovisionnelles</w:t>
      </w:r>
    </w:p>
    <w:p>
      <w:r>
        <w:t>- 26 - (art. 7, 60 et 65 al. 4 TFJC [tarif des frais judiciaires civils du 28 septembre 2010 ; BLV 270.11.5]), doivent être supportés par l’appelant, qui succombe (art. 106 al. 1 CPC), et provisoirement laissés à la charge de l’Etat (art. 122 al. 1 let. b CPC). Quant aux dépens de deuxième instance, s’agissant de la procédure d’appel, l’intimée n’ayant pas été invitée à se déterminer, il n’y a pas lieu d’en allouer à ce titre. Toutefois, celle-ci s’est déterminée sur la requête de mesures superprovisionnelles et provisionnelles du 31 mai 2022 de l’appelant, de sorte qu’il convient de lui allouer la somme de 800 fr. (art. 9 al. 2 [tarif des dépens en matière civile du 23 novembre 2010 ; BLV 270.11.6]) au titre de dépens, la requête de mesures superprovisionnelles et provisionnelles ayant été rejetées.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 6.3.2 Le conseil d’office de l’appelant a indiqué dans sa liste des opérations du 8 juin 2022 avoir consacré 9 heures et 8 minutes au dossier. Toutefois, les trois courriers envoyés à l’ancien conseil de l’appelant, à l’autorité de première instance et au juge unique, afin d’indiqué qu’il était le nouveau conseil de l’appelant, pour un total de 30 minutes, doivent être comptabilisés à 15 minutes pour le tout, compte tenu de la nature desdits courriers. Par ailleurs, le temps consacré à la rédaction de sa correspondance du 24 mars 2022, relative à une demande de prolongation de délai afin d’effectuer l’avance de frais, doit être réduit à 5 minutes. Les opérations comptabilisées les 28 mars, 12 avril et 30 mai</w:t>
      </w:r>
    </w:p>
    <w:p>
      <w:r>
        <w:t>- 27 - 2022, en lien avec des projets de lettre, pour un total de 2 heures, doivent être réduites à 1 heure 30 compte tenu de la nature du litige. De plus, le temps consacré à la correspondance au client des 3, 10, 24 et 29 mars, ainsi que des 1er et 7 juin 2022, lesquels ont été comptabilisés entre 10 et 15 minutes par courriel, sera supprimé, dès lors que ces opérations constituent vraisemblablement des lettres de transmission ou des mémos, vu la chronologie des opérations. De telles correspondances relèvent d’un travail de secrétariat inclus dans le tarif horaire de l’avocat (CREC 14 septembre 2015/332 consid. 3.2 ; CREC 5 janvier 2015/10 ; Juge délégué CACI 18 août 2014/436 consid. 3 ; CACI 29 juillet 2014/235 consid. 6) et il n’y a ainsi pas lieu de les prendre en compte. Enfin, l’opération relative à la correspondance à l’autorité du 29 mars 2022 doit être supprimée, celle-ci étant introuvable dans le procès-verbal des opérations de la présente cause ni dans le dossier. En définitive, l’indemnité de Me Yann Oppliger doit être arrêtée à 1'254 fr. (6 heures et 58 minutes x 180 fr.) pour ses honoraires, montant auquel s’ajoutent les débours forfaitaires par 25 fr. 10 (1'254 fr. x 2 % [art. 3bis al. 1 RAJ]) et la TVA au taux de 7.7 % sur le tout par 98 fr. 50, soit une indemnité totale de 1'377 fr. 60, arrondie à 1’378 francs. 6.4 L’appelant est tenu au remboursement des frais judiciaires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- 28 - Par ces motifs, le Juge unique de la Cour d’appel civile prononce : I. L’appel est rejeté. II. L’ordonnance de mesures provisionnelles du 17 février 2022 est confirmée. III. La requête de mesures provisionnelles déposée le 31 mai 2022 par l’appelant H.________ est rejetée. IV. Les frais judiciaires de deuxième instance, arrêtés à 800 fr. (huit cents francs), sont mis à la charge de l’appelant H.________ et sont laissés provisoirement à la charge de l’Etat. V. L’appelant H.________ doit verser à l’intimée A.R.________ la somme de 800 fr. (huit cents francs) a titre de dépens de deuxième instance. VI. L’indemnité de Me Yann Oppliger, conseil d’office de l’appelant H.________, est arrêtée à 1’378 fr. (mille trois cent septante- huit francs), débours et TVA compris. VII. L’appelant H.________, bénéficiaire de l’assistance judiciaire, est tenu au remboursement des frais judiciaires et de l’indemnité allouée à son conseil d’office, provisoirement laissés à la charge de l’Etat, dès qu’il sera en mesure de le faire. VIII. L’arrêt est exécutoire.</w:t>
      </w:r>
    </w:p>
    <w:p>
      <w:r>
        <w:t>- 29 - Le juge unique : La greffière : Du Le présent arrêt, dont la rédaction a été approuvée à huis clos, est notifié en expédition complète à : - Me Yann Oppliger (pour H.________), - Me Cléo Buchheim (pour A.R.________),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