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JI21.027751 vom 5. Januar 2023</w:t>
      </w:r>
    </w:p>
    <w:p>
      <w:r>
        <w:t>VD Tribunal cantonal, 2023-01-05, FR</w:t>
      </w:r>
    </w:p>
    <w:p>
      <w:r>
        <w:rPr>
          <w:b/>
        </w:rPr>
        <w:t xml:space="preserve">Quelle: </w:t>
      </w:r>
      <w:r>
        <w:t>https://mcp.opencaselaw.ch/entscheid/vd_gerichte_JI21.027751</w:t>
      </w:r>
    </w:p>
    <w:p>
      <w:r>
        <w:t>FR: VD_GERICHTE JI21.027751 du 5 janvier 2023</w:t>
      </w:r>
    </w:p>
    <w:p>
      <w:r>
        <w:t>IT: VD_GERICHTE JI21.027751 del 5 gennaio 2023</w:t>
      </w:r>
    </w:p>
    <w:p>
      <w:pPr>
        <w:pStyle w:val="Heading2"/>
      </w:pPr>
      <w:r>
        <w:t>Erwägungen</w:t>
      </w:r>
    </w:p>
    <w:p>
      <w:r>
        <w:rPr>
          <w:b/>
        </w:rPr>
        <w:t>E. 5</w:t>
      </w:r>
    </w:p>
    <w:p>
      <w:r>
        <w:t>Par courrier du 13 septembre 2022, l’UEMS, a informé le Juge unique de céans que le dossier avait été attribué le 18 août 2022 à [...] et qu’un délai de quatre mois était compté pour mener à bien l’évaluation, à compter de la date d’attribution. Lors de son audition en qualité de témoin, [...], responsable de mandats d’évaluation auprès de l’UEMS a déclaré que Point Rencontre n’avait pas encore pu être mis en œuvre en raison du manque de place disponible au sein de ce service mais que les visites pourraient en principe débuter dans le courant du mois d’octobre 2022. Elle a ajouté que l’intimée était d’accord qu’elle se rende auprès de l’appelant avec Q.________, en plus des visites à Point Rencontre. A la question de savoir si elle avait le sentiment que la mère cherchait à priver le père de sa fille, elle a déclaré que non, au contraire, elle pensait que l’intimée était « mal avec le fait de l’avoir privé de droit de visite » et qu’elle avait « hâte que l’enquête avance et de pouvoir avoir des garanties sur le fait d’une reprise de contact sécure ». Elle n’avait eu qu’un seul contact avec l’enfant et n’avait donc pas encore pu approfondir la question des visites, si ce n’est que l’enfant avait « simplement exprimé le souhait de ne pas être séparée trop longtemps de sa mère, par exemple un jour pour commencer ». S’agissant du père, elle a indiqué ce qui suit : « Je l’ai vu longuement dernièrement et nous avons abordé une éventuelle impulsivité de sa part. Je l’ai trouvé très sincère dans son discours. Il était vraiment centré sur sa fille pendant l’entretien et sur ce qu’il pourrait lui apporter. Il a eu quelques propos un peu chartriers [sic] envers Madame, mais ce que je retiens vraiment sa tristesse actuelle et son envie de jouer son rôle de père. Je n’ai pas ressenti de dangerosité de sa part durant l’entretien. Me Brenci me demande si je pense que le lien père fille se sera dégradé pendant cette rupture des relations. Q.________ était en tout cas tout à fait disposée à venir chez son père. Il faudra peut-être que j’y aille une deuxième fois. Je n’ai pas encore vu le domicile de Monsieur. »</w:t>
      </w:r>
    </w:p>
    <w:p>
      <w:r>
        <w:t>- 17 - Enfin, elle a exposé qu’elle n’avait pas du tout constaté de volonté de vengeance de la part de l’intimée contre l’appelant, qu’elle avait vu que l’intimée avait énormément souffert et souffrait encore, ajoutant que l’évaluation devrait lui permettre de faire la part de ce qui la concerne et ce qui concerne l’enfant. Elle a indiqué qu’elle pensait que la mère avait « fait ces démarches par protection pour sa fille à un moment donné ». Elle pense pouvoir déposer son rapport d’ici la fin de l’année. En d roit : 1. 1.1 L'appel est recevable contre les ordonnances de mesures provisionnelles et les mesures protectrices de l'union conjugale dans les causes non patrimoniales ou dont la valeur litigieuse, au dernier état des conclusions devant l’autorité inférieure, est de 10'000 fr. au moins (art. 308 al. 1 let. a et al. 2 CPC). L'appel, écrit et motivé, doit être introduit dans les trente jours à compter de la notification de la décision motivée (art. 311 al. 1 CPC). 1.2 En l'espèce, formé en temps utile par une partie qui a un intérêt digne de protection (art. 59 al. 2 let. a CPC), l’appel, portant sur des conclusions non patrimoniales, est recevable. La réponse, déposée en temps utile, est également recevable. 2. 2.1 L'appel peut être formé pour violation du droit (art. 310 let. a CPC) et constatation inexacte des faits (art. 310 let.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w:t>
      </w:r>
    </w:p>
    <w:p>
      <w:r>
        <w:t>- 18 - procédure civile, 2e éd., 2019, nn. 2 ss ad art. 310 CPC). Elle peut revoir librement l'appréciation des faits sur la base des preuves administrées en première instance (ATF 138 III 374 consid. 4.3.1 ; TF 4D_7/2020 du 5 août 2020 consid. 5 ; TF 4A_215/2017 du 15 janvier 2019 consid. 3.4). Le large pouvoir d'examen en fait et en droit ainsi défini s'applique même si la décision attaquée est de nature provisionnelle (JdT 2011 Ill 43 consid. 2 et les réf. cit.).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 2.2 Dans le cadre de mesures protectrices de l'union conjugale, le juge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S'agissant des questions relatives aux enfants, la maxime inquisitoire illimitée (art. 296 al. 1 CPC) et la maxime d'office (art. 296 al. 3 CPC) sont applicables. 2.3 L’art. 317 al. 1 CPC prévoit que les faits et moyens de preuve nouveaux sont admissibles en appel pour autant qu'ils soient invoqués ou</w:t>
      </w:r>
    </w:p>
    <w:p>
      <w:r>
        <w:t>- 19 -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Lorsque le procès est soumis à la maxime inquisitoire illimitée, il convient toutefois de considérer que l'application stricte de l'art. 317 al. 1 CPC n'est pas justifiée. Dans cette mesure, il y a lieu d'admettre que les parties peuvent présenter des nova en appel même si les conditions de l'art. 317 al. 1 CPC ne sont pas réunies (ATF 144 III 349 consid. 4.2.1 et les références). 2.4 En l’espèce, l’appelant a produit – en sus de deux pièces de formes – deux pièces nouvelles durant la procédure de deuxième instance. Dès lors que sont litigieuses les questions de l’autorité parentale et des modalités d’exercice des relations personnelles de l’appelant avec sa fille, la procédure est régie par la maxime inquisitoire illimitée. Il y a ainsi lieu d’admettre que les pièces produites à ce stade sont formellement recevables, indépendamment de la question de savoir si les conditions de l’art. 317 al. 1 CPC sont réunies. Cela étant, elles n’apparaissent pas pertinentes. La photo produite par l’appelant (pièce 3) n’établit rien de plus que le fait que l’enfant a eu à un moment donné une (très légère) éraflure, dont l’origine est inconnue. S’agissant de la pièce 4, on peut prendre acte du fait que l’appelant a déposé une plainte pénale contre l’intimée en lui reprochant d’avoir produit dans le cadre de la présente procédure certains courriels imprimés sans autorisation depuis sa messagerie électronique. Cette information n’est toutefois pas pertinente pour la cause, en particulier pour statuer sur le retrait de l’autorité parentale de l’appelant et fixer les modalités d’exercice de son droit de visite. 3. 3.1 L’appelant fait valoir une violation de son droit d’être entendu, au motif que l’ordonnance entreprise serait insuffisamment motivée.</w:t>
      </w:r>
    </w:p>
    <w:p>
      <w:r>
        <w:t>- 20 - 3.2 Le droit d’être entendu est une garantie constitutionnelle prévue par l'art. 29 al. 2 Cst. (Constitution fédérale du 18 avril 1999 ;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(TF 4A_2/2013 du 12 juin 2013 consid. 3.2.1.1 ; ATF 136 I 265 consid. 3.2 ; ATF 135 II 286 consid. 5.1).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1 279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consid. 2.8.1 ; ATF 137 I 195 consid. 2.3.2).</w:t>
      </w:r>
    </w:p>
    <w:p>
      <w:r>
        <w:t>- 21 - 3.3 En l’espèce, il est exact que le premier juge mentionne que l’appelant prend l’enfant à partie dans ses messages, sans donner davantage de précisions. Cela ne suffit toutefois pas à constituer une violation du droit d’être entendu. En effet, on ne peut pas soutenir que pour cette raison le prononcé ne serait pas motivé. En outre, même à supposer que le droit d’être entendu de l’appelant n’ait pas été respecté, l’éventuel manquement peut en l’occurrence être considéré comme réparé, dans la mesure où l’état de fait a, à cet égard, été complété en deuxième instance, par l’autorité de céans qui dispose, comme le premier juge, d’un pouvoir d’examen complet en fait et en droit. 4. L’appelant conteste une nouvelle fois, sous l’angle de l’art. 152 al. 2 CPC, la licéité de la preuve constituée par les courriels produits par l’intimée, imprimés sans droit depuis la messagerie de l’appelant. A ce sujet, il peut être renvoyé aux considérations du premier juge, qui a exposé à juste titre et de manière circonstanciée que l’intérêt de l’enfant devait en l’occurrence primer sur la protection de la vie privée de l’appelant, même dans l’hypothèse où l’obtention de la preuve serait illicite. Les pièces litigieuses doivent dès lors demeurer au dossier de la cause.</w:t>
      </w:r>
    </w:p>
    <w:p>
      <w:r>
        <w:rPr>
          <w:b/>
        </w:rPr>
        <w:t>E. 5.1</w:t>
      </w:r>
    </w:p>
    <w:p>
      <w:r>
        <w:t>L’appelant fait ensuite grief à l’autorité de première instance de lui avoir retiré l’autorité parentale sur sa fille Q.________. Il conteste que les arguments présentés en première instance par l’intimée permettent de rendre vraisemblable qu’il serait à l’origine d’une quelconque mise en danger de sa fille, du développement ou de santé de cette dernière, les faits allégués par l’intimée – qui sont contestés par l’appelant – ne concernant pas l’enfant, mais l’intimée personnellement. Il considère en outre que la condition de l’urgence n’était pas remplie puisque l’intimée a requis l’octroi de l’assistance judiciaire durant l’été 2021 et a attendu le mois de février 2022 pour déposer son écriture, fondée en particulier sur une attestation médicale datée de juillet 2021. Il relève ensuite qu’aucune</w:t>
      </w:r>
    </w:p>
    <w:p>
      <w:r>
        <w:t>- 22 - pièce du dossier ne permet de retenir qu’il instrumentaliserait l’enfant ou qu’il aurait été violent avec sa fille, ni avec l’intimée d’ailleurs. Enfin, il conteste l’appréciation réalisée par le premier juge des deux témoignages de mai 2022, dont il aurait dû être retenu que les témoins n’avaient pas constaté de quelconque acte de violence, physique ou psychique de sa part contre l’enfant, leurs témoignages n’ayant été retranscrits que de manière partielle, voire partiale, dans l’ordonnance entreprise. Selon lui, les messages échangés entre les parties ne permettent pas de considérer qu’il serait « l’auteur des tensions entre les parents, d’une instrumentalisation de l’enfant à l’égard de la mère et, d’une certaine manière, d’un harcèlement à l’encontre de l’intimée ». Enfin, il conteste que ses pratiques sexuelles soient propres à mettre en danger Q.________ dans son développement physique et psychique. L’intimée et les premiers juges auraient ainsi confondu les intérêts subjectifs de l’intimée avec les intérêts objectifs de l’enfant. En définitive, il soutient que le litige qui l’oppose à l’intimée ne met aucunement en péril les intérêts de leur fille et que le dossier ne contient aucune preuve du danger qu’il représenterait pour elle. L’intimée a pour sa part indiqué que si la situation était compliquée depuis des mois au moment du dépôt de la requête, elle s’était réellement aggravée depuis mi-janvier 2022, le comportement de l’enfant étant alors devenu très étrange, de sorte que l’intimée a pris conscience du fait que la situation ne pouvait pas perdurer et qu’elle se devait de protéger sa fille et de faire la lumière sur son changement radical de comportement. Pour le surplus, elle relève notamment que les messages écrits et vocaux produits en première instance attestent du fait que l’appelant prend sa fille à partie dans le litige qui l’oppose à l’intimée et place cette enfant de six ans dans un conflit de loyauté malsain. Elle ne conteste pas qu’un canal de communication existait avant le dépôt de la requête, mais relève que la teneur des échanges atteste de l’impossibilité pour les parents de se concerter sereinement pour prendre les décisions afférentes à Q.________. Enfin, elle a relevé qu’elle était à même d’assurer la stabilité dont leur fille a besoin, de garantir sa sécurité et son bon développement, alors que si elle ne pouvait affirmer de manière</w:t>
      </w:r>
    </w:p>
    <w:p>
      <w:r>
        <w:t>- 23 - péremptoire que Q.________ courait un danger chez son père, il était néanmoins important qu’une évaluation soit menée afin d’éclaircir les zones d’ombres entourant sa prise en charge paternelle.</w:t>
      </w:r>
    </w:p>
    <w:p>
      <w:r>
        <w:rPr>
          <w:b/>
        </w:rPr>
        <w:t>E. 5.2.1</w:t>
      </w:r>
    </w:p>
    <w:p>
      <w:r>
        <w:t>L'attribution de l'autorité parentale conjointe – dont le principe est posé à l'art. 296 al. 2 CC – aux parents divorcés (art. 133 CC) ou non mariés (art. 298a ss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(ATF 142 III 1 consid. 3.3 ; TF 5A_489/2019 du 24 août 2020 consid. 4.1 ; TF 5A_194/2020 du 5 novembre 2020 consid. 3.1 ; TF 5A_985/2014 du 25 juin 2015 consid. 3.1.1, FamPra.ch 2015 p. 975).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Des litiges ponctuels ou des divergences d'opinion, comme ils peuvent se trouver dans chaque famille, en particulier en cas de séparation ou de divorce sont cependant insuffisants pour justifier de s'écarter de la règle de l'attribution conjointe (ATF 142 III 1 précité consid. 3.3 ; ATF 141 III 472 consid. 4.3 et 4.7 ; TF 5A_194/2020 précité consid. 3 ; TF 5A_489/2019 précité consid. 4.1).</w:t>
      </w:r>
    </w:p>
    <w:p>
      <w:r>
        <w:rPr>
          <w:b/>
        </w:rPr>
        <w:t>E. 5.2.2</w:t>
      </w:r>
    </w:p>
    <w:p>
      <w:r>
        <w:t>La garde de fait – qui se traduit par l’encadrement quotidien de l’enfant et par l’exercice des droits et des devoirs liés aux soins et à</w:t>
      </w:r>
    </w:p>
    <w:p>
      <w:r>
        <w:t>- 24 - l’éducation courante (ATF 147 III 121 consid. 3.2.2) – est une composante de l'autorité parentale (TF 5A_46/2015 du 26 mai 2015 consid. 4.4.4). Bien que l'autorité parentale conjointe soit désormais la règle et qu'elle comprenne le droit de déterminer le lieu de résidence de l'enfant, elle n'implique pas nécessairement l'instauration d'une garde alternée. L'autorité compétente doit examiner, nonobstant et indépendamment de l'accord des parents quant à une garde alternée, si celle-ci est possible et compatible avec le bien de l'enfant (ATF 142 III 612 consid. 4.2 ; ATF 142 III 617 consid. 3.2.3). Le bien de l'enfant constitue en effet la règle fondamentale en matière d'attribution des droits parentaux (ATF 141 III 328 consid. 5.4), les intérêts des parents devant être relégués au second plan (ATF 142 III 617 consid. 3.2.3 et les références ; TF 5A_991/2019 du 19 janvier 2021 consid. 5.1.1). Si la seule existence et persistance de l'opposition d'un parent ne suffit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 ; sur le tout TF 5A_46/2015 du 26 mai 2015 consid. 4.4, FamPra.ch 2015 p. 987).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w:t>
      </w:r>
    </w:p>
    <w:p>
      <w:r>
        <w:t>- 25 - parent (ATF 142 III 617 consid. 3.2.4 ; TF 5A_66/2019 du 5 novembre 2019 consid. 4.1 ; TF 5A_34/2017 du 4 mai 2017 consid. 5.1 ; TF 5A_991/2019 du 19 janvier 2021 consid. 5.1.2). L’examen porte en premier lieu sur les capacités éducatives des parents. Entrent ensuite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5A_11/2020 du 13 mai 2020 consid. 3.3.3.1 et les références). Ainsi les critères de la stabilité et de la possibilité pour le parent de s'occuper personnellement de l'enfant ont un rôle prépondérant chez les nourrissons et les enfants en bas âge alors que l'appartenance à un cercle social est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5A_66/2019 du 5 novembre 2019 consid. 4.1 ; TF 5A_34/2017 du 4 mai 2017 consid. 5.1 ; TF 5A_991/2019 du 19 janvier 2021 consid. 5.1.2).</w:t>
      </w:r>
    </w:p>
    <w:p>
      <w:r>
        <w:rPr>
          <w:b/>
        </w:rPr>
        <w:t>E. 5.3</w:t>
      </w:r>
    </w:p>
    <w:p>
      <w:r>
        <w:t>En l’espèce, le premier juge a relevé à juste titre que Q.________ était prise au milieu d’un conflit parental extrêmement important, lequel avait été exacerbé par la séparation des parties, que le comportement adopté par l’appelant, notamment les propos virulents tenus par celui-ci à propos de l’intimée et le fait qu’il n’hésite pas à instrumentaliser Q.________ afin de faire pression sur sa mère laissent</w:t>
      </w:r>
    </w:p>
    <w:p>
      <w:r>
        <w:t>- 26 - penser qu’il n’a pas la moindre volonté de coopérer avec cette dernière pour le bien de sa fille. Bien au contraire, il souhaite lui imposer les modalités de leur séparation et de la prise en charge de Q.________. Selon l’autorité de première instance, l’appelant donne ainsi l’impression d’avoir comme priorité le fait de déstabiliser l’intimée plutôt que le bien-être de sa fille. Elle s’est en particulier référée à l’extrait du message vocal où l’appelant semble vouloir utiliser l’autorité parentale qu’il détient comme moyen de pression pour limiter la liberté d’action de l’intimée, ce qui va manifestement à l’encontre de l’intérêt de Q.________. Dans ce contexte, le premier juge a considéré que les conditions de base de la responsabilité conjointe des parents n’étaient plus données et que l’autorité parentale de l’intimé devait lui être retirée et attribuée exclusivement à l’intimée. Les considérations qui précèdent doivent être confirmée en deuxième instance. En effet, il est manifeste que les parties ne s’entendent absolument pas et sont tout à fait incapables de communiquer adéquatement. Le dialogue entre elles est impossible, même en audience, et le conflit qui les oppose est particulièrement violent, alors même que la séparation remontait déjà à plus d’un an au moment de la clôture des débats de deuxième instance. L’appelant a notamment adressé de très nombreux messages insultants ou à tout le moins agressifs et dénigrants à l’attention de l’intimée. Si la teneur des propos de l’appelant est déjà, en elle-même, relativement inquiétante, son absence totale de prise de conscience quant au fait que son comportement est blâmable et pour le moins inadéquat l’est d’autant plus. Interpellé à ce sujet en audience d’appel, il a justifié son comportement par le fait qu’il se trouvait alors sans domicile fixe, ce qui le tendait, et que l’intimée ne lui indiquait jamais quand il pourrait avoir l’enfant avec lui, cela à une période où les relations personnelles père-fille étaient, par la force des choses, irrégulières. Il est établi qu’il a toutefois continué d’adresser le même type de messages entre octobre 2021 et février 2022, alors qu’il disposait d’un logement et qu’il avait l’enfant auprès de lui de manière régulière, une semaine sur deux. Son explication ne résiste donc pas à l’examen et ne permet en aucun cas d’expliquer ses débordements récurrents. Au demeurant, on ne</w:t>
      </w:r>
    </w:p>
    <w:p>
      <w:r>
        <w:t>- 27 - perçoit pas, dans ces conditions, quelles informations auraient dû lui être fournies par l’intimée. De surcroît, il est manifeste que l’appelant implique l’enfant dans ce conflit. A de multiples reprises, il s’est adressé directement à sa fille par messages vocaux adressés à sa mère, selon lesquels « Maman refuse de discuter ». Il a de nombreuses fois également indiqué à l’intimée qu’il allait faire en sorte que l’enfant sache à quoi s’en tenir à son sujet. En audience, il n’a pas nié l’avoir fait, indiquant même qu’il lui paraissait justifié que l’enfant ait les « deux sons de cloche » sur la situation de ses parents. Dans ces conditions, il se justifie, au stade des mesures provisionnelles, de maintenir l’attribution de l’autorité parentale exclusive à la mère. Pour les mêmes raisons, la garde de Q.________ doit demeurer confiée à l’intimée, les conditions requises au maintien d’une garde alternée ne sont de toute évidence pas réunies. Le fait qu’il persiste à impliquer l’enfant dans le conflit conjugal est évidemment de nature à mettre gravement en danger le bien-être et le bon développement de l’enfant, qui est encore très jeune et doit être préservée des débordements de son père. La situation est d’autant plus inquiétante que l’appelant ne semble absolument pas prendre conscience du fait que son comportement est hautement dommageable pour Q.________. Conformément à ce qui a déjà été relevé dans l’ordonnance entreprise, cette décision se justifie d’autant plus que l’UEMS devrait rendre prochainement son rapport d’enquête et se prononcera sur l’opportunité de maintenir ou non ces mesures après avoir procédé à un examen complet et approfondi de la situation, du point de vue des intérêts primordiaux de l’enfant.</w:t>
      </w:r>
    </w:p>
    <w:p>
      <w:r>
        <w:rPr>
          <w:b/>
        </w:rPr>
        <w:t>E. 6.1</w:t>
      </w:r>
    </w:p>
    <w:p>
      <w:r>
        <w:t>S’agissant de la garde de Q.________ et de l’exercice de son droit de visite, l’appelant se réfère à ses arguments précédents relatifs à</w:t>
      </w:r>
    </w:p>
    <w:p>
      <w:r>
        <w:t>- 28 - l’autorité parentale. Pour le surplus, il relève qu’il ne représente aucun danger pour l’enfant, de sorte que ses relations personnelles devraient être exercées de manière libres et larges, et, en cas de mésentente, selon le régime usuel. Selon lui l’interdiction qui lui est faite d’approcher l’école de sa fille ne serait pas justifiée.</w:t>
      </w:r>
    </w:p>
    <w:p>
      <w:r>
        <w:rPr>
          <w:b/>
        </w:rPr>
        <w:t>E. 6.2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FamPra.ch 2014 p. 433 ; ATF 131 III 209 consid. 5).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ainsi que de l’éloignement géographique des domiciles (Meier/Stettler, op. cit., n. 984 et 985, p. 635-636 et les réf. cit.).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w:t>
      </w:r>
    </w:p>
    <w:p>
      <w:r>
        <w:t>- 29 - le droit d’entretenir ces relations peut leur être retiré ou refusé (art. 274 al. 2 CC). Il y a danger pour le bien de l’enfant au sens de cette disposition si son développement physique, moral et psychique est menacé par la présence, même limitée, du parent qui n’a pas la garde de fait (cf.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5A_334/2018 du</w:t>
      </w:r>
    </w:p>
    <w:p>
      <w:r>
        <w:rPr>
          <w:b/>
        </w:rPr>
        <w:t>E. 6.3</w:t>
      </w:r>
    </w:p>
    <w:p>
      <w:r>
        <w:t>La décision du premier juge peut à première vue sembler sévère. Elle s’avère cependant proportionnée à la situation est conforme aux intérêts de Q.________. Pour répondre aux arguments développés à cet égard par l’appelant, il convient de lui donner acte du fait qu’il n’est pas établi, ni même allégué d’ailleurs, qu’il aurait battu l’enfant. Aucune pièce au dossier, en particulier aucune appréciation médicale, ne fait état d’une mise en danger physique de Q.________ par son père. Cela étant, le premier juge a justifié sa décision d’une part par le fait que le père impliquait régulièrement l’enfant dans le conflit</w:t>
      </w:r>
    </w:p>
    <w:p>
      <w:r>
        <w:t>- 30 - conjugal, et d’autre part du fait de ses goûts sexuels particuliers, qui commandaient d’investiguer les conditions dans lesquelles l’enfant était accueillie auprès de lui. L’appelant fait valoir que ceux-ci ne concernent que lui (et ses partenaires sans doute) et que l’on ne peut appliquer le principe de précaution d’une manière aussi extrême. Cela reviendrait pratiquement à le priver de son droit de visite, alors même qu’aucun élément probant ne permet de le faire et que cela n’irait pas dans l’intérêt de l’enfant. On peut également donner acte à l’appelant que ses préférences en matière sexuelle qui, si l’on s’en réfère aux courriels produits, révèlent des intérêts particuliers (par exemple pour la scatophilie et la zoophilie), ne semblent pas concerner des enfants. Les courriels extraits de sa messagerie ne sont dès lors pas déterminants. En revanche, la tendance, déjà mentionnée plus haut, de l’appelant à impliquer l’enfant dans le conflit parental, que l’appelant semble assumer voire revendiquer, et qu’il ne voit en tous cas pas comme un problème est nettement plus préoccupante. Il y a également lieu de relever une tendance manifeste de l’appelant à projeter ses propres souhaits sur l’enfant. Il n’est ainsi pas du tout vraisemblable que ce soit l’enfant qui ait émis, vu son âge notamment, le vœu de vivre exactement une semaine sur deux chez chaque parent. On doit également relever que l’intimée indique avoir constaté une évolution négative. L’enfant serait allée plus mal dès le moment dirait-on où elle passait la moitié de son temps chez son père, refuserait d’y aller, pleurerait, userait même de ruses pour l’éviter. Si l’on ne dispose pas de preuve que ces affirmations sont vraies, il n’y a pas non plus de raison de considérer que l’intéressée mentirait, ses déclarations étant cohérentes avec son propre comportement. Les explications fournies par l’intimée permettent notamment de de justifier les raisons du dépôt de la requête de mesures provisionnelles en février 2022 et paraissent crédibles. L’assistante sociale en charge de l’évaluation n’a d’ailleurs perçu chez l’intimée aucune intention de nuire ; au contraire, l’intéressée aurait selon elle plutôt tendance à culpabiliser du fait que l’enfant ne voit plus son père. En outre, il ne s’est apparemment produit aucun événement particulier en février 2022, qui aurait pu induire un soudain changement d’attitude de l’intimée</w:t>
      </w:r>
    </w:p>
    <w:p>
      <w:r>
        <w:t>- 31 - ou faire naître un désir de revanche de cette dernière à l’égard de l’appelant. Dans ces conditions, la seule explication plausible au dépôt de la requête à ce moment-là est qu’effectivement la mère a constaté une péjoration de l’état émotionnel de sa fille, vraisemblablement liés aux rapports de cette dernière avec l’appelant. A cela s’ajoute encore un élément. Selon ce qui a été déclaré en audience, l’appelant a appris à sa fille, âgée de six ans seulement, à faire des massages. A ce sujet, il s’est contredit, affirmant d’abord qu’il s’agissant de massages du cou, puis du dos. Là encore, il semble qu’il attribue ses propres désirs à l’enfant, en affirmant que ce serait Q.________ qui aurait, de sa propre initiative, entrepris de lui faire un massage du dos en se servant de ses pieds, ce qui est non seulement invraisemblable, mais surtout particulièrement inadéquat. Au vu de ces différents éléments, en particulier l’implication réitérée de l’enfant dans le conflit parental, sans aucune prise de conscience ou remise en question, la tendance de l’appelant à projeter sur l’enfant ses propres souhaits ou actions, le fait qu’il lui ait apparemment appris à faire des massages, l’évolution négative du comportement de l’enfant en lien avec son père, constaté par la mère, et malgré le fait que l’assistante sociale n’ait pas distingué – après un seul entretien toutefois – de tendance dangereuse chez l’appelant, le principe de précaution commande de maintenir, à ce stade, le régime actuel. L’appelant exercera donc son droit aux relations personnelles sur sa fille selon les modalités prévues dans l’ordonnance entreprise, à savoir par l’intermédiaire de Point Rencontre, à l’intérieur des locaux exclusivement. La situation pourra, le cas échéant, être revue à réception du rapport d’évaluation de l’UEMS, dont l’enquête porte précisément sur les questions de l’attribution de l’autorité parentale, de la garde, ainsi que des modalités d’exercice d’un éventuel droit de visite pour le cas où la garde alternée n’est pas préconisée. L’UEMS devrait dès lors se prononcer prochainement sur l’opportunité de maintenir ou de modifier les restrictions actuellement en vigueur. Toutefois, il convient de souligner</w:t>
      </w:r>
    </w:p>
    <w:p>
      <w:r>
        <w:t>- 32 - que, dans la mesure où les visites ont été inexistantes à tout le moins de février à octobre 2022, date à laquelle il était prévu que les visite surveillées par l’intermédiaire de Point Rencontre puissent débuter, et vu le jeune âge de Q.________, un éventuel élargissement du droit de visite de l’appelant ne pourrait quoi qu’il en soit être opéré que de manière très progressive, afin de permettre à l’enfant de s’adapter sereinement à cette évolution et de favoriser une reprise sécure des relations avec son père. Ainsi, même dans l’hypothèse où l’exercice d’un droit de visite plus étendu devait être recommandé par l’UEMS, celui-ci devait, de toute manière, avoir lieu, dans un premier temps, par l’intermédiaire de Point Rencontre, à l’intérieur des locaux exclusivement, avant d’éventuellement pouvoir être élargi. Pour ce motif également, il se justifie, dans l’immédiat, de confirmer les modalités d’exercice du droit de visite de l’appelant telles que définies dans l’ordonnance entreprise.</w:t>
      </w:r>
    </w:p>
    <w:p>
      <w:r>
        <w:rPr>
          <w:b/>
        </w:rPr>
        <w:t>E. 7</w:t>
      </w:r>
    </w:p>
    <w:p>
      <w:r>
        <w:t>août 2018 consid. 3.1 ; TF 5A_877/2013 du 10 février 2014 consid. 6.1 ; TF 5A_448/2008 du 2 octobre 2008 consid. 4.1 ; ATF 131 III 209 consid. 5, JdT 2005 I 201).</w:t>
      </w:r>
    </w:p>
    <w:p>
      <w:r>
        <w:rPr>
          <w:b/>
        </w:rPr>
        <w:t>E. 7.1</w:t>
      </w:r>
    </w:p>
    <w:p>
      <w:r>
        <w:t>Compte tenu de ce qui précède, l’appel doit être rejeté et l’ordonnance entreprise doit être confirmée.</w:t>
      </w:r>
    </w:p>
    <w:p>
      <w:r>
        <w:rPr>
          <w:b/>
        </w:rPr>
        <w:t>E. 7.2</w:t>
      </w:r>
    </w:p>
    <w:p>
      <w:r>
        <w:t>Les frais judiciaires de deuxième instance, arrêtés à 600 fr. (art. 65 al. 2 TFJC [tarif des frais judiciaires civils du 28 septembre 2010 ; BLV 270.11.5]), doivent être provisoirement laissés à la charge de l’Etat pour l’appelant, qui succombe (art. 106 al. 1 CPC).</w:t>
      </w:r>
    </w:p>
    <w:p>
      <w:r>
        <w:rPr>
          <w:b/>
        </w:rPr>
        <w:t>E. 7.3</w:t>
      </w:r>
    </w:p>
    <w:p>
      <w:r>
        <w:t>S’agissant de l’indemnité due au conseil d’office de l’appelant, Me Brenci a déposé une liste de ses opérations le 4 octobre 2022 faisant état d’un temps consacré au dossier de 14 heures, de débours forfaitaires d’un montant correspondant à 5% de ses honoraires, soit à 126 fr., ainsi que d’une vacation. Le nombre d’heures indiqué ne prête pas le flanc à la critique. En revanche, les débours ne peuvent excéder 2% du montant des honoraires (art. 3bis al. 1 RAJ [Règlement sur l'assistance judiciaire en matière civile, BLV 211.02.3]). Au tarif horaire de 180 fr. pour l'avocat (art. 2 al. 1 let. a RAJ), l’indemnité d’office de Me Brenci peut ainsi être arrêtée à 2’520 fr. pour les honoraires (14 x 180 fr.), débours par 50 fr. 40 (2% x</w:t>
      </w:r>
    </w:p>
    <w:p>
      <w:r>
        <w:t>- 33 - 2'520 fr. ; art. 3bis al. 1 RAJ), vacation par 120 fr. (art. 3bis al. 3 RAJ) et TVA sur le tout par 207 fr. 15 non compris, soit à un montant total de 2'897 fr. 55, arrondi à 2’898 francs. S’agissant de l’indemnité due au conseil d’office de l’intimée, Me Nicolet a déposé une liste de ses opérations le 3 octobre 2022 faisant état d’un temps consacré au dossier de 13 heures et 10 minutes, de débours forfaitaires d’un montant correspondant à 5% de ses honoraires, soit à 118 fr. 50, ainsi que d’une vacation. Le nombre d’heures indiqué ne prête pas le flanc à la critique. En revanche, les débours ne peuvent excéder 2% du montant des honoraires (art. 3bis al. 1 RAJ). Au tarif horaire de 180 fr. pour l'avocat (art. 2 al. 1 let. a RAJ), l’indemnité d’office de Me Nicolet peut ainsi être arrêtée à 2'370 fr. pour les honoraires (13.15 x 180 fr.), débours par 47 fr. 40 (2% x 2'370 fr. ; art. 3bis al. 1 RAJ), vacation par 120 fr. (art. 3bis al. 3 RAJ) et TVA sur le tout par 195 fr. 40 non compris, soit à un montant total de 2'732 fr. 80, arrondi à 2’733 francs. 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CDPJ [Code de droit privé judiciaire vaudois ; BLV 211.02]).</w:t>
      </w:r>
    </w:p>
    <w:p>
      <w:r>
        <w:rPr>
          <w:b/>
        </w:rPr>
        <w:t>E. 7.4</w:t>
      </w:r>
    </w:p>
    <w:p>
      <w:r>
        <w:t>L’appelant versera à l’intimée un montant de 3’000 fr. à titre de dépens de deuxième instance, étant précisé que l’octroi de l’assistance judiciaire ne dispense pas du versement des dépens à la partie adverse (art. 118 al. 3 CPC).</w:t>
      </w:r>
    </w:p>
    <w:p>
      <w:r>
        <w:t>- 34 - Par ces motifs, le juge unique de la Cour d’appel civile prononce : I. L’appel est rejeté. II. L’ordonnance est confirmée. III. Les frais judiciaires de deuxième instance, arrêtés à 600 fr. (six cents francs), sont provisoirement laissés à la charge de l’Etat pour l’appelant G.________. IV. L’indemnité d’office de Me Alessandro Brenci, conseil de l’appelant G.________, est arrêtée à 2'898 fr. (deux mille huit cent nonante-huit francs), TVA et débours compris. V. L’indemnité d’office de Me Raphaëlle Nicolet, conseil de l’appelante V.________, est arrêtée à 2'733 fr. (deux mille sept cent trente-trois francs), TVA et débours compris. VI. Les bénéficiaires de l’assistance judiciaire sont tenus au remboursement des frais judiciaires et des indemnités aux conseils d’office, laissés provisoirement à la charge de l’Etat, dès qu’ils seront en mesure de le faire. VII. L’appelant G.________ versera à l’intimée V.________ la somme de 3’000 fr. (trois mille francs) à titre de dépens de deuxième instance.</w:t>
      </w:r>
    </w:p>
    <w:p>
      <w:r>
        <w:t>- 35 - VIII. L’arrêt est exécutoire. Le juge unique : La greffière : Du Le présent arrêt, dont la rédaction a été approuvée à huis clos, est notifié en expédition complète à : - Me Alessandro Brenci (pour G.________), - Me Raphaëlle Nicolet (pour V.________), et communiqué, par l'envoi de photocopies, à : - M. le Président du Tribunal d’arrondissement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