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JI21.009313 vom 24. Januar 2024</w:t>
      </w:r>
    </w:p>
    <w:p>
      <w:r>
        <w:t>VD Tribunal cantonal, 2024-01-24, FR</w:t>
      </w:r>
    </w:p>
    <w:p>
      <w:r>
        <w:rPr>
          <w:b/>
        </w:rPr>
        <w:t xml:space="preserve">Quelle: </w:t>
      </w:r>
      <w:r>
        <w:t>https://mcp.opencaselaw.ch/entscheid/vd_gerichte_JI21.009313</w:t>
      </w:r>
    </w:p>
    <w:p>
      <w:r>
        <w:t>FR: VD_GERICHTE JI21.009313 du 24 janvier 2024</w:t>
      </w:r>
    </w:p>
    <w:p>
      <w:r>
        <w:t>IT: VD_GERICHTE JI21.009313 del 24 gennaio 2024</w:t>
      </w:r>
    </w:p>
    <w:p>
      <w:pPr>
        <w:pStyle w:val="Heading2"/>
      </w:pPr>
      <w:r>
        <w:t>Erwägungen</w:t>
      </w:r>
    </w:p>
    <w:p>
      <w:r>
        <w:rPr>
          <w:b/>
        </w:rPr>
        <w:t>E. 3.1</w:t>
      </w:r>
    </w:p>
    <w:p>
      <w:r>
        <w:t>En l’occurrence, la Cour de céans est saisie de la question de la légitimité de la contribution d’entretien octroyée à l’enfant mineur avec effet rétroactif entre le 1er février 2020 et le 30 avril 2021. L'appelant fait grief au premier juge d'avoir violé l'autorité de chose jugée attachée à la convention du 17 mai 2021 ratifiée pour valoir ordonnance de mesures provisionnelles en fixant, dans le jugement au fond, des contributions d'entretien avec effet rétroactif dès le 1er février 2020, alors même qu'il avait rappelé que le jugement au fond ne pouvait pas revoir de manière rétroactive les contributions réglées par voie de mesures provisionnelles. Pour sa part, l'intimée conteste ce moyen en soutenant que le juge de première instance se serait bien gardé de statuer à nouveau sur les contributions dues pour l'entretien de l'enfant entre la ratification de la convention de mesures provisionnelles du 17 mai 2021 et l'entrée en force du jugement. Il se serait limité à statuer, d'une part, sur les contributions dues pour l'entretien avant la ratification de cette convention – contributions que celle-ci n'aurait pas réglées – et, d'autre part, sur les contributions dues pour l'entretien de l'enfant après l'entrée en force du jugement.</w:t>
      </w:r>
    </w:p>
    <w:p>
      <w:r>
        <w:t>- 10 -</w:t>
      </w:r>
    </w:p>
    <w:p>
      <w:r>
        <w:rPr>
          <w:b/>
        </w:rPr>
        <w:t>E. 3.2.1</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 TF 5A_807/2012 du 6 février 2013 consid. 5.4.4.3). Cette faculté est donnée pour toutes les contributions du droit de famille, qu’elles soient fixées dans le cadre de mesures protectrices de l’union conjugale, de mesures provisoires pendant une procédure de divorce ou de la fixation des contributions à l’entretien des enfants (Stoudmann, Le divorce en pratique, Lausanne 2023, 2e éd., p. 429 et les réf. citées). L’effet rétroactif ne se justifie que si l’entretien dû n’a pas été assumé en nature ou en espèces ou dès qu’il a cessé de l’être (TF 5A_372/2015 du 29 septembre 2015 consid. 3.1 ; TF 5A_591/2011 du 7 décembre 2011 consid. 5.2 ; TF 5A_909/2010 du 4 avril 2011 consid. 6.2 ; Juge unique CACI 22 juillet 2022/379 consid. 6.2).</w:t>
      </w:r>
    </w:p>
    <w:p>
      <w:r>
        <w:rPr>
          <w:b/>
        </w:rPr>
        <w:t>E. 3.2.2</w:t>
      </w:r>
    </w:p>
    <w:p>
      <w:r>
        <w:t>Les mesures provisionnelles déploient leurs effets jusqu'à l'entrée en force du jugement sur le fond (ATF 130 I 347 consid. 3.2 ; ATF 128 III 121 consid. 3c/bb ; TF 5A_725/2008 du 6 août 2009 consid. 3.1.3). Les décisions qui les prononcent sont en principe assimilables aux décisions ordinaires en ce qui concerne leur force de chose jugée formelle, en ce sens qu'elles entrent formellement en force à l'expiration du délai de recours et ne peuvent donc être – sous réserve d'une révision selon les art. 328 ss CPC – plus révoquées ou modifiées de manière rétroactive (ATF 141 III 376 consid. 3.3.4 ; ATF 141 III 43 consid. 2.5.2 ; voir également ATF 127 III 496 consid. 3a et 3b/bb). Dans le cadre du divorce, la jurisprudence retient que la possibilité pour le juge d'allouer une contribution d'entretien à une date antérieure à l'entrée en force partielle du jugement de divorce n'était pas ouverte pour les cas dans lesquels des mesures provisionnelles ont été ordonnées pour la durée de la procédure de divorce. Dans ces situations, le juge du divorce ne peut fixer le dies a quo de la contribution d'entretien</w:t>
      </w:r>
    </w:p>
    <w:p>
      <w:r>
        <w:t>- 11 -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 ATF 142 III 193 consid. 5.3 ; ATF 141 III 376 consid. 3.3.4 ; ATF 127 III 496 consid. 3a et les réf. citées). Elles sont supprimées et remplacées par celles fixées dans le jugement de divorce, dès que celui-ci est formellement exécutoire en ce qui concerne la réglementation de l'entretien (ATF 146 III 284 consid. 2.2 et les réf. citées ; TF 5A_19/2019 du 18 février 2020 consid. 1 ; voir également ATF 145 III 36 consid. 2.4) (sur le tout : TF 5A_712/2021 du 23 mai 2022 consid. 7.3.2.2). On ne voit pas pour quelles raisons ces principes sur l'absence de rétroactivité du jugement au fond lorsque des mesures provisionnelles ont été prononcées pour la durée de la procédure ne s'appliqueraient pas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(sur le tout : TF 5A_712/2021 précité consid. 7.3.2.3).</w:t>
      </w:r>
    </w:p>
    <w:p>
      <w:r>
        <w:rPr>
          <w:b/>
        </w:rPr>
        <w:t>E. 3.2.3</w:t>
      </w:r>
    </w:p>
    <w:p>
      <w:r>
        <w:t>La transaction judiciaire est un acte consensuel par lequel les parties mettent fin à leur litige ou à une incertitude au sujet de leur relation juridique moyennant des concessions réciproques (ATF 132 III 737 consid. 1.3 ; TF 4A_298/2014 du 4 décembre 2014 consid. 3.4). Elle doit être interprétée selon les règles applicables au contrat, soit selon les art. 1 et 18 CO (Code des obligations du 30 mars 1911 ; RS 220 ; ATF 143 III 564 consid. 4.4.1 ; TF 4A_185/2017 du 15 juin 2017 consid. 4.2 ; TF 5A_521/2015 du 11 février 2016 consid. 3.3) (sur le tout : TF 4A_456/2019</w:t>
      </w:r>
    </w:p>
    <w:p>
      <w:r>
        <w:t>- 12 - du 8 avril 2020 consid. 4.1). En particulier, le Tribunal fédéral a récemment précisé qu’une convention sur mesures protectrices de l'union conjugale est une manifestation de volonté qui doit être interprétée selon les mêmes principes que les autres contrats (TF 5A_771/2022 du 5 avril 2023 consid. 3.3.1 et la réf. citée). 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(ATF 143 III 157 consid. 1.2.2 ; ATF 142 III 239 consid. 5.2.1). Si elle aboutit, cette démarche conduit à une constatation de fait (ATF 142 III 239 consid. 5.2.1 et les réf. citées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ATF 135 III 295 consid. 5.2 et les réf. citées ; TF 4A_152/2021 du 20 décembre 2022 consid. 5.2.1) (sur le tout : TF 5A_771/2022 précité consid. 3.3.1). 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(cf. ATF 143 III 520 consid. 6.2). Il en va notamment</w:t>
      </w:r>
    </w:p>
    <w:p>
      <w:r>
        <w:t>- 13 - ainsi des décisions qui doivent être approuvées par le juge si elles sont conclues dans le cadre d’un procès en aliments (art. 287 al. 1 et 3 CC ; Juge unique CACI 7 septembre 2023/359).</w:t>
      </w:r>
    </w:p>
    <w:p>
      <w:r>
        <w:rPr>
          <w:b/>
        </w:rPr>
        <w:t>E. 3.3</w:t>
      </w:r>
    </w:p>
    <w:p>
      <w:r>
        <w:t>En l’espèce, dans sa requête de mesures provisionnelles du 23 février 2021, l'intimée concluait au versement de contributions d'entretien dès et y compris le 1er février 2020. Les parties divergent sur le point de savoir si la convention de mesures provisionnelles du 17 mai 2021, qui prévoit le versement de contributions dès et y compris le 1er mai 2021, dispense transactionnellement l'appelant de contribuer à l'entretien de son fils jusqu'au 30 avril 2021 ou si, au contraire, elle réserve la décision du juge du fond sur cette question. Elles sont en revanche toutes deux d'accord pour considérer, avec raison, que la convention règle définitivement, sous réserve de faits nouveaux, les contributions dues pour la période allant du 1er mai 2021 au dernier jour du mois au cours duquel le jugement entrera en force. La question litigieuse est donc celle de l'effet de la ratification de la convention de mesures provisionnelles du 17 mai 2021 sur les contributions réclamées par l'intimée pour la période écoulée du 1er février 2020 au 30 avril 2021. Tel que susdit, les parties ont un avis divergeant sur cette question, de sorte qu’on ne peut déterminer quelle était leur réelle et commune intention au moment de la conclusion de la convention de mesures provisionnelles. A défaut de pouvoir définir leur volonté subjective, il y a lieu de recourir à l’interprétation objective et, singulièrement, d’établir la volonté présumée des parties sur la base de laquelle le juge a ratifié la convention du 17 mai 2021 pour lui donner valeur de décision judiciaire. En l’occurrence, la convention précitée qualifie les contributions d'entretien qu'elle fixe de contributions provisoires. Toutefois, rien dans le texte de la convention, ni dans celui de la décision de ratification, n'indique que les parties ou le juge ne voulaient pas conférer à cette convention toute la portée d'une décision rendue par le juge des mesures provisionnelles. En outre, la convention ne comporte aucune</w:t>
      </w:r>
    </w:p>
    <w:p>
      <w:r>
        <w:t>- 14 - réserve expresse concernant les contributions que l'intimée réclamait pour la période écoulée du 1er février 2020 au 30 avril 2021, ni aucune indication dont on pourrait déduire qu'une décision ultérieure était réservée à cet égard. Au contraire, le chiffre III de la convention, qui règle les frais et dépens de la procédure provisionnelle, démontre que les parties entendaient mettre un terme à l'entier de leur litige sur les mesures provisionnelles. La convention du 17 mai 2021 met dès lors un terme définitif à toute contestation sur les contributions de l'appelant à l'entretien de l'enfant du 1er février 2020 jusqu'au dernier jour du mois au cours duquel le jugement au fond entrera en force. C'est dès lors avec raison que l'appelant dénonce une violation de l'autorité de chose jugée attachée aux décisions de mesures provisionnelles par la fixation d'un dies a quo antérieur à l'entrée en force du jugement. Son grief doit ainsi être admis et, avec lui, l’appel.</w:t>
      </w:r>
    </w:p>
    <w:p>
      <w:r>
        <w:rPr>
          <w:b/>
        </w:rPr>
        <w:t>E. 4.1</w:t>
      </w:r>
    </w:p>
    <w:p>
      <w:r>
        <w:t>En définitive, l’appel doit être admis et le jugement réformé en ce sens qu’il ne règle pas les contributions d’entretien dues à l’enfant mineur avant son entrée en force.</w:t>
      </w:r>
    </w:p>
    <w:p>
      <w:r>
        <w:rPr>
          <w:b/>
        </w:rPr>
        <w:t>E. 4.2</w:t>
      </w:r>
    </w:p>
    <w:p>
      <w:r>
        <w:t>Selon l’art. 318 al. 3 CPC, si l’instance d’appel statue à nouveau, elle se prononce sur les frais – soit les frais judiciaires et les dépens (art. 95 al. 1 CPC) – de première instance. A teneur de l’art. 106 CPC, les frais sont mis à la charge de la partie succombante (al. 1). Lorsqu'aucune des parties n'obtient entièrement gain de cause, les frais sont répartis selon le sort de la cause (al. 2). Conformément à l’art. 107 al. 1 let. c CPC, le tribunal peut s’écarter des règles générales et répartir les frais selon sa libre appréciation notamment lorsque le litige relève du droit de la famille.</w:t>
      </w:r>
    </w:p>
    <w:p>
      <w:r>
        <w:t>- 15 -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En l’occurrence, le fait que l’appelant obtienne entièrement gain de cause en deuxième instance ne modifie pas fondamentalement le résultat auquel est parvenu le juge de première instance. En effet, on constate que l’appel a uniquement porté sur un point précis du jugement litigieux, soit la rétroactivité des contributions d’entretien de l’enfant mineur. Or, le jugement entrepris tranche également les questions – non contestées – de l’entretien convenable de l’enfant, de la situation financière des parties, du montant de la contribution d’entretien et de son indexation à l’Indice suisse du prix à la consommation, ces points constituant la large majorité des objets examinés par le président. Il n’y a ainsi pas lieu de modifier les frais de première instance.</w:t>
      </w:r>
    </w:p>
    <w:p>
      <w:r>
        <w:rPr>
          <w:b/>
        </w:rPr>
        <w:t>E. 4.3</w:t>
      </w:r>
    </w:p>
    <w:p>
      <w:r>
        <w:t>Vu le sort de l’appel, les frais judiciaires de deuxième instance, arrêtés à 600 fr. (émolument d'arrêt ; art. 63 al. 1 et 65 al. 2 TFJC [tarif des frais judiciaires civils du 28 septembre 2010 ; BLV 270.11.5]), sont mis à la charge de l'intimée, qui succombe (art. 106 al. 1 CPC).</w:t>
      </w:r>
    </w:p>
    <w:p>
      <w:r>
        <w:rPr>
          <w:b/>
        </w:rPr>
        <w:t>E. 4.4</w:t>
      </w:r>
    </w:p>
    <w:p>
      <w:r>
        <w:t>Compte tenu de l’issue de l’appel, l’appelant a droit à de pleins dépens, qui peuvent être fixés à 2’200 fr. (art. 3 al. 2 et 7 TDC [tarif des dépens en matière civile du 23 novembre 2010 ; BLV 270.11.6]) et doivent être alloués directement à Me Gaëlle Esteves. Le Tribunal fédéral a en effet considéré que la pratique relative à la LTF (loi du 17 juin 2005 sur le Tribunal fédéral ; RS 173.110) d'allouer les dépens directement à l'avocat d'office dans les cas où la partie au bénéfice de l'assistance judiciaire</w:t>
      </w:r>
    </w:p>
    <w:p>
      <w:r>
        <w:t>- 16 - obtenait gain de cause s'imposait également pour l'art. 122 al. 2 CPC (TF 4A_106/2021 du 8 août 2022 consid. 3.4 et les réf. citées).</w:t>
      </w:r>
    </w:p>
    <w:p>
      <w:r>
        <w:rPr>
          <w:b/>
        </w:rPr>
        <w:t>E. 4.5</w:t>
      </w:r>
    </w:p>
    <w:p>
      <w:r>
        <w:t>Aux termes de l’art. 117 CPC, une personne a droit à l’assistance judiciaire si elle ne dispose pas de ressources suffisantes (let. a) et si sa cause ne paraît pas dépourvue de toute chance de succès (let. b). En l’occurrence, les conditions de cette disposition sont remplies, étant en particulier relevé que, bien que l’appel ait été admis, on ne saurait considérer que la position de l’intimée paraissait d’emblée dénuée de chances de succès s’agissant de l’interprétation d’une transaction judiciaire. Aussi, la requête d'assistance judiciaire de l’intimée doit être admise avec effet au 9 mai 2023, Me Zakia Arnouni lui étant désignée en qualité de conseil d'office.</w:t>
      </w:r>
    </w:p>
    <w:p>
      <w:r>
        <w:rPr>
          <w:b/>
        </w:rPr>
        <w:t>E. 4.6.1</w:t>
      </w:r>
    </w:p>
    <w:p>
      <w:r>
        <w:t>En leur qualité de conseils d’office des parties, Me Gaëlle Esteves et Me Zakia Arnouni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4.6.2</w:t>
      </w:r>
    </w:p>
    <w:p>
      <w:r>
        <w:t>Dans sa liste des opérations du 10 juillet 2023, Me Esteves a indiqué avoir consacré 13 heures et 40 minutes au dossier d'appel. En particulier, 10 heures et 40 minutes au total ont été consacrées à la rédaction, la correction et la finalisation de l’appel (520 minutes + 60 minutes + 60 minutes). Cette durée est excessive au regard de la nature du litige et de sa difficulté, l’unique question juridique à traiter étant précise et limitée. Ainsi, il y a lieu de réduire à six heures la durée nécessaire pour rédiger et corriger l’appel. Partant, c’est une durée de neuf heures qui est déterminante pour fixer l’indemnité d’office.</w:t>
      </w:r>
    </w:p>
    <w:p>
      <w:r>
        <w:t>- 17 - Il s'ensuit qu'au tarif horaire de 180 fr., l'indemnité de Me Esteves doit être fixée à 1’779 fr. 65, soit 1'620 fr. à titre d'honoraires (9 heures x 180 fr.), 32 fr. 40 de débours (2 % de 1'620 fr.) et 127 fr. 25 de TVA, laquelle est appliquée sur le tout (7.7 % de 1'652 fr. 40).</w:t>
      </w:r>
    </w:p>
    <w:p>
      <w:r>
        <w:rPr>
          <w:b/>
        </w:rPr>
        <w:t>E. 4.6.3</w:t>
      </w:r>
    </w:p>
    <w:p>
      <w:r>
        <w:t>Dans sa liste des opérations du 17 juillet 2023, Me Arnouni a indiqué avoir consacré 6 heures et 13 minutes au dossier d'appel, cette durée étant admissible au regard de la nature du litige et de sa difficulté. Il en résulte qu'au tarif horaire de 180 fr., l'indemnité de Me Arnouni doit être fixée à 1'229 fr. 30, soit 1'119 fr. à titre d'honoraires (6 heures et 13 minutes x 180 fr.), 22 fr. 40 de débours (2 % de 1'119 fr.) et 87 fr. 90 de TVA, laquelle est appliquée sur le tout (7.7 % de 1'141 fr. 40).</w:t>
      </w:r>
    </w:p>
    <w:p>
      <w:r>
        <w:rPr>
          <w:b/>
        </w:rPr>
        <w:t>E. 4.7</w:t>
      </w:r>
    </w:p>
    <w:p>
      <w:r>
        <w:t>Les bénéficiaires de l’assistance judiciaire sont tenus au remboursement de l’indemnité allouée à leur conseil d’office respectif, ainsi qu’aux frais judiciaires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