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JI21.007618 vom 4. Januar 2024</w:t>
      </w:r>
    </w:p>
    <w:p>
      <w:r>
        <w:t>VD Tribunal cantonal, 2024-01-04, FR</w:t>
      </w:r>
    </w:p>
    <w:p>
      <w:r>
        <w:rPr>
          <w:b/>
        </w:rPr>
        <w:t xml:space="preserve">Quelle: </w:t>
      </w:r>
      <w:r>
        <w:t>https://mcp.opencaselaw.ch/entscheid/vd_gerichte_JI21.007618</w:t>
      </w:r>
    </w:p>
    <w:p>
      <w:r>
        <w:t>FR: VD_GERICHTE JI21.007618 du 4 janvier 2024</w:t>
      </w:r>
    </w:p>
    <w:p>
      <w:r>
        <w:t>IT: VD_GERICHTE JI21.007618 del 4 gennaio 2024</w:t>
      </w:r>
    </w:p>
    <w:p>
      <w:pPr>
        <w:pStyle w:val="Heading2"/>
      </w:pPr>
      <w:r>
        <w:t>Erwägungen</w:t>
      </w:r>
    </w:p>
    <w:p>
      <w:r>
        <w:rPr>
          <w:b/>
        </w:rPr>
        <w:t>E. 4</w:t>
      </w:r>
    </w:p>
    <w:p>
      <w:r>
        <w:t>Par courrier du 13 mai 2022, le président a exhorté les parents à entreprendre sans délai une thérapie parentale auprès du Centre de consultation Les Boréales afin de travailler leur coparentalité.</w:t>
      </w:r>
    </w:p>
    <w:p>
      <w:r>
        <w:rPr>
          <w:b/>
        </w:rPr>
        <w:t>E. 4.1</w:t>
      </w:r>
    </w:p>
    <w:p>
      <w:r>
        <w:t>En second lieu, l’appelante conteste l’attribution de l’autorité parentale au père.</w:t>
      </w:r>
    </w:p>
    <w:p>
      <w:r>
        <w:rPr>
          <w:b/>
        </w:rPr>
        <w:t>E. 4.2</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w:t>
      </w:r>
    </w:p>
    <w:p>
      <w:r>
        <w:t>- 25 -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w:t>
      </w:r>
    </w:p>
    <w:p>
      <w:r>
        <w:rPr>
          <w:b/>
        </w:rPr>
        <w:t>E. 4.3</w:t>
      </w:r>
    </w:p>
    <w:p>
      <w:r>
        <w:t>- 26 -</w:t>
      </w:r>
    </w:p>
    <w:p>
      <w:r>
        <w:rPr>
          <w:b/>
        </w:rPr>
        <w:t>E. 4.3.1</w:t>
      </w:r>
    </w:p>
    <w:p>
      <w:r>
        <w:t>Le premier juge a considéré que les conditions pour l’exercice de l’autorité parentale conjointe n’étaient plus réunies et l’a confiée exclusivement à l’intimé, estimant que celui-ci s’était montré plus à même de prendre des décisions dans l’intérêt de l’enfant K.________, en laissant ses propres intérêts en arrière-plan, tant dans le domaine scolaire que thérapeutique. Rien ne permet de s’écarter du raisonnement et de la conclusion du premier juge. Il ne s’agit pas d’un conflit banal ou temporaire entre les parties, il est à l’inverse récurrent, massif et touche à presque tous les domaines importants d’une prise en charge de l’enfant. Il est manifeste que les parents ne sont jamais en mesure de prendre une décision commune pour le bien de celui-ci. La procédure n’est qu’une suite de requêtes de mesures superprovisionnelles et provisionnelles, au point où même les vacances doivent être décidées par un juge. L’autorité parentale conjointe ne peut plus s’exercer, le conflit paralysant toute prise de décision concernant K.________. Pour ce qui est de l’attribution de l’autorité parentale à l’intimé, il y a également lieu de constater, avec le premier juge, que l’appelante a plusieurs fois pris des décisions qui semblent contrevenir à l’intérêt de l’enfant, sans raison perceptible. Ainsi, elle a interrompu le traitement d’ergothérapie de l’enfant, qui n’aurait été maintenu selon elle que pour « la contrer » (cf. rapport d’expertise, p. 14). Le bilan neuropsychologique de l’enfant n’a pas pu être réalisé à ce jour. On peine également à comprendre pourquoi l’appelante a mis en œuvre une expertise privée, de manière unilatérale et secrète, ce qui n’a fait qu’alourdir la procédure inutilement et soumettre l’enfant, déjà entouré par de très nombreux professionnels, à une intervenante supplémentaire. Un exemple, qui est également un des objets de l’appel, illustre parfaitement la situation. L’enfant nécessite une intervention chirurgicale en raison d’adhérences balanopréputiales. Les parents ont été incapables de s’entendre sur cette question. Dans sa requête du 16 juin 2023, l’intimé a notamment conclu à être autorisé à faire opérer l’enfant. L’appelante a fait valoir qu’elle était d’accord avec cette opération. Elle souhaitait cependant que le médecin</w:t>
      </w:r>
    </w:p>
    <w:p>
      <w:r>
        <w:t>- 27 - pratique encore une circoncision, ce avec quoi, selon elle, l’intimé n’était pas d’accord. Mais, de manière plus que surprenante, dans son appel, l’appelante s’oppose à présent à toute intervention, affirmant que celle-ci n’est pas nécessaire. L’appelante produit un certificat médical à l’appui de sa conclusion. Les avis médicaux au dossier confirment cependant la présence des adhérences. Une fois de plus, le comportement de l’appelante tend à rendre impossible la prise et la mise en œuvre de toute décision. C’est donc à juste titre que le premier juge a retiré l’autorité parentale à l’appelante pour la confier exclusivement à l’intimé. Comme on l’a relevé plus haut, celui-ci est enclin à des accès de colère. Mais la question n’est pas de lui confier ou non la garde de l’enfant. A juste titre, le premier juge a considéré qu’il était capable de prendre des décisions raisonnables concernant l’enfant.</w:t>
      </w:r>
    </w:p>
    <w:p>
      <w:r>
        <w:rPr>
          <w:b/>
        </w:rPr>
        <w:t>E. 4.3.2</w:t>
      </w:r>
    </w:p>
    <w:p>
      <w:r>
        <w:t>Dans son appel, l’appelante estime que le premier juge a eu tort d’ignorer l’avis de Mme [...], selon lequel l’autorité parentale sur l’enfant K.________ ne devait en aucun cas être retirée à la mère. Comme déjà examiné ci-dessus, l’expertise privée effectuée par l’appelante a uniquement la valeur d’une allégation de partie, ce d’autant plus que cette psychologue n’a vraisemblablement pas connaissance de tout l’historique de la cause ayant mené à la constatation qu’une autorité parentale conjointe n’était plus possible. L’appelante reproche également au président de s’être écarté de l’avis de l’expert [...]. Cet argument est infondé. Cet expert avait déclaré, à l’audience du 10 août 2023, qu’une autorité parentale conjointe entière n’étaient pas indiquée dans la situation actuelle. Il avait suggéré de restreindre le pouvoir de décision des deux parents sur l’aspect médical et thérapeutique de l’enfant. Cette solution n’apparaît toutefois pas conforme au droit, appropriée et proportionnelle, dans la mesure où, d’une part, l’un des parents peut encore exercer une autorité parentale complète et que, d’autre part, non seulement les aspects médicaux et thérapeutiques sont conflictuels, mais également ceux relatifs à la scolarité de l’enfant. Par ailleurs, il n’y a aucune raison de restreindre l’autorité parentale de l’intimé sur la question médicale si celui-ci parvient à prendre des décisions et à agir en fonction des intérêts de l’enfant. Le juge s’est sur ce point écarté de l’avis de l’expert à juste titre. On le constate</w:t>
      </w:r>
    </w:p>
    <w:p>
      <w:r>
        <w:t>- 28 - notamment à la lumière des derniers événements relatifs à l’intervention chirurgicale dont K.________ a besoin et que l’intimé tente de mettre en place depuis des mois. Enfin, l’appelante se plaint du fait que le premier juge n’aurait pas accordé suffisamment d’importance à l’enquête pénale ouverte à l’encontre de l’intimé. Comme déjà exposé, seule la question de l’autorité parentale est examinée, et non celle du droit de garde ou du droit de visite, et l’existence de violences du type de celles faisant l’objet de l’enquête pénale n’est dès lors pas pertinente. Pour conclure, le retrait de l’autorité parentale à l’appelante et son attribution exclusive à l’intimé doivent être confirmés. 5.</w:t>
      </w:r>
    </w:p>
    <w:p>
      <w:r>
        <w:rPr>
          <w:b/>
        </w:rPr>
        <w:t>E. 5</w:t>
      </w:r>
    </w:p>
    <w:p>
      <w:r>
        <w:t>Par courrier du 24 octobre 2022, la DGEJ a préconisé un mandat de placement et de garde de l’enfant K.________, impliquant le retrait aux parents du droit de déterminer son lieu de résidence. Le 8 novembre 2022, l’intimé a adhéré au placement temporaire de son fils, proposé par la DGEJ, afin de l’extraire du conflit conjugal. Le même jour, l’appelante s’y est opposée, estimant que la situation de l’enfant était bonne et en nette évolution. Par ordonnance du 30 novembre 2022, le premier juge a renoncé en l’état à prononcer un placement et a ordonné la mise en œuvre d’un complément d’expertise pédopsychiatrique, confié en raison de sa bonne connaissance de la situation familiale au Dr [...]. Le premier juge a considéré qu’il fallait s’assurer qu’aucune mesure moins incisive n’était envisageable, notamment un changement de garde et/ou l’attribution exclusive de l’autorité parentale à un seul parent.</w:t>
      </w:r>
    </w:p>
    <w:p>
      <w:r>
        <w:t>- 7 -</w:t>
      </w:r>
    </w:p>
    <w:p>
      <w:r>
        <w:rPr>
          <w:b/>
        </w:rPr>
        <w:t>E. 5.1</w:t>
      </w:r>
    </w:p>
    <w:p>
      <w:r>
        <w:t>Au vu de ce qui précède, l’appel, manifestement infondé, doit être rejeté selon le mode procédural de l’art. 312 al. 1 CPC, et l’ordonnance attaquée confirmée.</w:t>
      </w:r>
    </w:p>
    <w:p>
      <w:r>
        <w:rPr>
          <w:b/>
        </w:rPr>
        <w:t>E. 5.2</w:t>
      </w:r>
    </w:p>
    <w:p>
      <w:r>
        <w:t>Les frais judiciaires de deuxième instance doivent être arrêtés à 800 fr., y compris la décision sur l’effet suspensif, par 200 fr. (art. 7 al. 1 et 60 TFJC [tarif des frais judiciaires civils du 28 septembre 2010 ; BLV 270.11.5]), et l’émolument de base, par 600 fr. (art. 65 al. 2 TFJC). Ils seront mis à la charge de l’appelante, qui succombe (art. 106 al. 1 CPC), mais supportés provisoirement par l’Etat, compte tenu de l’assistance judiciaire dont elle bénéficie.</w:t>
      </w:r>
    </w:p>
    <w:p>
      <w:r>
        <w:rPr>
          <w:b/>
        </w:rPr>
        <w:t>E. 5.3</w:t>
      </w:r>
    </w:p>
    <w:p>
      <w:r>
        <w:t>L’intimé, qui obtient gain de cause, a droit à des dépens pour la décision sur l’effet suspensif, étant rappelé qu’il n’a pas été interpellé sur le fond. Ceux-ci peuvent être évalués à 400 fr., compte tenu des déterminations déposées (art. 9 al. 2 TDC [tarif des dépens en matière civile du 23 novembre 2010 ; BLV 270.11.6]). Ainsi, l’appelante versera à l’intimé un montant de 400 fr. à titre de dépens de deuxième instance, l’assistance judiciaire ne dispensant pas du versement de dépens à la partie adverse (art. 122 al. 1 let. d CPC).</w:t>
      </w:r>
    </w:p>
    <w:p>
      <w:r>
        <w:rPr>
          <w:b/>
        </w:rPr>
        <w:t>E. 5.4</w:t>
      </w:r>
    </w:p>
    <w:p>
      <w:r>
        <w:t>- 29 -</w:t>
      </w:r>
    </w:p>
    <w:p>
      <w:r>
        <w:rPr>
          <w:b/>
        </w:rPr>
        <w:t>E. 5.4.1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t>- 30 -</w:t>
      </w:r>
    </w:p>
    <w:p>
      <w:r>
        <w:rPr>
          <w:b/>
        </w:rPr>
        <w:t>E. 5.4.2</w:t>
      </w:r>
    </w:p>
    <w:p>
      <w:r>
        <w:t>Me Bertrand Pariat, conseil d’office de l’appelante, a produit une liste des opérations faisant état d’activités déployées dans le dossier durant 18,6 heures. En l’occurrence, on ne saurait retenir que l’entier du temps consacré entre dans le cadre de l’accomplissement raisonnable de la tâche du conseil d’office ; la liste des opérations doit donc être revue à la baisse. Me Bertrand Pariat a annoncé avoir consacré 10 heures à la rédaction de l’appel (44 pages). Dans la mesure où les pages 3 à 38 ont été déclarées irrecevables (cf. consid. 3.2.1 supra), il se justifie de réduire de moitié le temps annoncé (5 heures ; 14.09.23). Ensuite, le temps dédié à la rédaction d'un bordereau de pièces (0,5 heure ; 14.09.2023), qui relève d'un travail de pur secrétariat (Juge unique CACI 23 septembre 2022/478 ; CREC 18 novembre 2020/275 ; Juge unique CACI 29 avril 2019/228), doit également être retranché. De même, la lecture de l’ordonnance d’assistance judiciaire (0,1 heure ; 27.09.2023) n’implique qu’une lecture cursive brève ne dépassant pas les quelques secondes et ne peut donc pas être rémunérée en tant que travail d’avocat (CACI 23 août 2022 consid. 14.3 ; CACI Juge unique 29 novembre 2022 consid. 4.3). Au final, on retiendra pour Me Bertrand Pariat un total de 13 heures (18,6 - 5 - 0,5 - 0,1). Ainsi, ses honoraires s’élèvent à 2’340 fr. (180 fr. x 13 h). A cela s’ajoutent les débours forfaitaires à 2 % (art. 3bis RAJ), par 46.80, et la TVA sur le tout, par 183 fr. 80, pour un total de 2'570 fr. 60.</w:t>
      </w:r>
    </w:p>
    <w:p>
      <w:r>
        <w:rPr>
          <w:b/>
        </w:rPr>
        <w:t>E. 5.4.3</w:t>
      </w:r>
    </w:p>
    <w:p>
      <w:r>
        <w:t>Me Céline Jarry-Lacombe, conseil d’office de l’intimé, a produit une liste des opérations faisant état d’activités déployées dans le cadre de la procédure d’appel durant 5 heures et 20 minutes. Ce décompte ne saurait en aucun cas être admis. L’intimé n’a été interpellé que sur la question de l’effet suspensif. Son conseil a rédigé des déterminations de deux pages. Une durée de deux heures apparaît suffisante à cet égard, y compris pour les opérations annexes. Pour le surplus, on ne saurait prendre en considération des postes tels que « étude de dossier », alors même que la mandataire assistait l’intimé en première instance, ni une durée de 45 minutes pour demander l’assistance judiciaire.</w:t>
      </w:r>
    </w:p>
    <w:p>
      <w:r>
        <w:t>- 31 - Ainsi, les honoraires de Me Céline Jarry-Lacombe doivent être arrêtés à 360 fr. (180 fr. x 2 h). A cela s’ajoutent les débours forfaitaires à 2 % (art. 3bis RAJ), par 7 fr. 20, et la TVA sur le tout, par 28 fr. 30, pour un total de 395 fr. 50.</w:t>
      </w:r>
    </w:p>
    <w:p>
      <w:r>
        <w:rPr>
          <w:b/>
        </w:rPr>
        <w:t>E. 5.4.4</w:t>
      </w:r>
    </w:p>
    <w:p>
      <w:r>
        <w:t>Les bénéficiaires de l’assistance judiciaire rembourseront les frais judiciaires mis à leur charge et l’indemnité allouées leurs conseils d’office respectifs, provisoirement supportés par l’Etat, dès qu’ils seront en mesure de le faire (art. 123 CPC). Il incombe à la Direction du recouvrement de la Direction générale des affaires institutionnelles et des communes de fixer le principe et les modalités de ces remboursements (art. 39a CDPJ [code du 12 janvier 2010 de droit privé judiciaire vaudois ; BLV 121.02]). Par ces motifs, le juge unique de la Cour d’appel civile prononce : I. L’appel est rejeté. II. L’ordonnance est confirmée. III. Les frais judiciaires de deuxième instance, arrêtés à 800 fr. (huit cents francs), sont mis à la charge de l’appelante N.________, mais supportés provisoirement par l’Etat. IV. L’appelante N.________ versera à l’intimé F.________ un montant de 400 fr. (quatre cents francs), à titre de dépens de deuxième instance. V. L’indemnité allouée à Me Bertrand Pariat, conseil d’office de l’appelante N.________, est arrêtée à 2'570 fr. 60 (deux mille</w:t>
      </w:r>
    </w:p>
    <w:p>
      <w:r>
        <w:t>- 32 - cinq cent septante francs et soixante centimes), débours et TVA compris. VI. L’indemnité allouée à Me Céline Jarry-Lacombe, conseil d’office de l’intimé F.________, est arrêtée à 395 fr. 50 (trois cent nonante-cinq francs et cinquante centimes), débours et TVA compris. VII. Les bénéficiaires de l’assistance judiciaire sont tenus au remboursement des frais judiciaires mis à leur charge et des indemnités allouées à leurs conseils d’office respectifs, provisoirement supportés par l’Etat, dès qu’ils seront en mesure de le faire (art. 123 CPC). VIII. L’arrêt est exécutoire. Le juge unique : La greffière : Du Le présent arrêt, dont la rédaction a été approuvée à huis clos, est notifié à : - Me Bertrand Pariat (pour N.________), - Me Céline Jarry-Lacombe (pour F.________), - Me J. ________, curatrice de représentation de K.________, et communiqué, par l'envoi de photocopies, à : - M. le Président du Tribunal civil de l’arrondissement de La Côte, - M. [...], curateur, assistant social auprès de la DGEJ. Le présent arrêt peut faire l'objet d'un recours en matière civile devant le Tribunal fédéral au sens des art. 72 ss LTF (loi du 17 juin 2005 sur le Tribunal fédéral – RS 173.110), le cas échéant d'un recours</w:t>
      </w:r>
    </w:p>
    <w:p>
      <w:r>
        <w:t>- 33 -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Le 17 mai 2023, l’expert [...] a rendu un rapport complémentaire. Il a conclu que l’enfant était en grave danger dans son développement en l’absence de remise en question de chacun des parents sur le rôle joué dans la persistance du conflit. Il a constaté que la mise en danger était actuelle et que le placement était adéquat et justifié au vu de l'inefficacité des mesures préconisées et de la chronicisation du conflit et des symptômes.</w:t>
      </w:r>
    </w:p>
    <w:p>
      <w:r>
        <w:rPr>
          <w:b/>
        </w:rPr>
        <w:t>E. 7</w:t>
      </w:r>
    </w:p>
    <w:p>
      <w:r>
        <w:t>Le 30 mai 2023, le directeur de l’école de K.________ a signalé la situation de l’enfant à la DGEJ. Il ressort notamment de ce signalement que l’ensemble des acteurs scolaires était inquiet au sujet du développement de l’enfant, que les parents se dénigraient mutuellement sur leurs capacités éducatives – même si le père avait évolué –, et que les mesures d’aide étaient compromises à la suite de ces mésententes. Par ailleurs, il révèle que l’appelante a décidé de changer de psychologue pour l’enfant, qu’elle a refusé d’entrer en matière s’agissant du MATAS (Modules d'Activités Temporaires et Alternatives à la Scolarité) et qu’elle a également refusé de redémarrer le suivi d’ergothérapie interrompu à la suite du comportement de l’enfant. Un bilan neuropsychologique a été refusé initialement par le père, puis accepté par ce dernier, puis refusé par la mère, qui l’a enfin fait réaliser en visioconférence avec une thérapeute grecque. Le directeur de l’école a finalement estimé que le développement socio-affectif, relationnel et cognitif de l’enfant était en danger.</w:t>
      </w:r>
    </w:p>
    <w:p>
      <w:r>
        <w:rPr>
          <w:b/>
        </w:rPr>
        <w:t>E. 8</w:t>
      </w:r>
    </w:p>
    <w:p>
      <w:r>
        <w:t>a) Par requête de mesure provisionnelles et superprovisionnelles du 16 juin 2023, l’intimé a conclu en substance à ce que l’enfant soit autorisé à se faire opérer le 30 juin 2023 pour libérer ses adhérences balanopréputiales, conformément aux recommandations du Dr [...] du 16 mai 2023, à la mise en œuvre d’un bilan neuropsychologique et psychologique, et à l’attribution de l’autorité parentale exclusive en sa faveur. Le 22 juin 2023, l’appelante s’est déterminée, indiquant qu’elle avait d’ores et déjà donné son accord pour l’intervention chirurgicale. Elle a</w:t>
      </w:r>
    </w:p>
    <w:p>
      <w:r>
        <w:t>- 8 - formellement conclu au rejet de la requête déposée par l’intimé et à ce que la garde exclusive lui soit attribuée. Le 23 juin 2023, Me J. ________ s’est également déterminée sur la requête. b) Par ordonnance de mesures superprovisionnelles du 23 juin 2023, le premier juge a autorisé l’intervention requise et a ordonné aux parents de soumettre l’enfant à un bilan neuropsychologique et psychologique, conformément aux recommandations de l’école, afin de déterminer s’il avait besoin de mesures d’aide et d’encadrement. L’intervention chirurgicale n’a toutefois pas eu lieu, le chirurgien refusant d’intervenir dans un contexte de conflit parental. c) Le premier juge a tenu une audience de mesures provisionnelles le 10 août 2023, au cours de laquelle l'expert [...] ainsi que le curateur [...] ont été entendus. Leurs déclarations ont été consignées au procès-verbal et il y sera fait référence dans le présent arrêt dans la mesure utile.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w:t>
      </w:r>
    </w:p>
    <w:p>
      <w:r>
        <w:t>- 9 - membre de la Cour d’appel civile statue comme juge unique sur les appels formés contre les décisions sur mesures provisionnelles (art. 84 al. 2 LOJV [loi d’organisation judiciaire du 12 décembre 1979 ; BLV 173.021]). Conformément à l'art. 311 al. 1 CPC, l'appel doit être présenté par écrit et motivé. Le mémoire d'appel doit contenir des conclusions (ATF 137 III 617 consid. 4.2.2). 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2ème éd. 2010, n° 2871 p. 510). Des conclusions claires et précises sont un élément essentiel dans une procédure judiciaire, tant pour la partie adverse que pour le juge, et il ne saurait subsister de doute à leur sujet.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 1.2 En l’espèce, l’appel a été formé en temps utile par une partie qui a un intérêt digne de protection (art. 59 al. 2 let. a CPC), contre une ordonnance de mesures provisionnelles qui porte sur des conclusions non patrimoniales, devant l’autorité compétente. L’appelante conclut principalement à l’annulation de l’appel et au rejet des conclusions de l’intimé, sans prendre de conclusions réformatoires, ce qui soulève la question de la recevabilité de l’appel. A la lecture de la motivation de celui-ci, on comprend néanmoins qu’il vise en réalité le maintien de l’autorité parentale conjointe et à ce que le placement ne soit pas ordonné. 2.</w:t>
      </w:r>
    </w:p>
    <w:p>
      <w:r>
        <w:t>- 10 - 2.1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2.2.1 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 2.2.2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2.2.3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w:t>
      </w:r>
    </w:p>
    <w:p>
      <w:r>
        <w:t>- 11 - vraisemblables (ATF 130 III 102 consid. 2.2 ; TF 5A_71/2018 du 12 juillet 2018 consid. 4.2).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novas en appel même si les conditions de cette disposition ne sont pas réunies (ATF 144 III 349 consid. 4.2.1 et les références ; TF 5A_582/2020 du 7 octobre 2021 consid. 4.1.4). 2.3.2 En l’espèce, l’appel concerne l’autorité parentale et le placement d’un enfant mineur. Partant, les pièces produites par l’appelante sont recevables. 2.4 2.4.1 2.4.1.1 L’appelante requiert la production par le Tribunal de police de l’arrondissement de La Côte du dossier pénal référencé sous [...] concernant l’intimé. Elle a produit l’acte d’accusation rendu le 13 septembre 2023 par le Procureur de l’arrondissement de La Côte. Celui-ci a requis que l’intimé soit condamné à une peine de 140 jours-amende, la valeur du jour-amende étant fixée à 40 fr., et à une amende de 1'500 fr. pour voies de fait qualifiées, contrainte, diffamation et calomnie. Les faits retenus à ce stade de la procédure sont les suivants. A plusieurs reprises entre 2019 et 2022, l’intimé se serait livré à des voies de fait sur son fils, en particulier il aurait tiré ses cheveux en 2020, il lui aurait tiré les oreilles en 2021, et il lui aurait donné, à une date indéterminée courant 2021, une gifle et plusieurs coups, avec les phalanges, sur le côté de la tête. Il aurait par ailleurs exercé des pressions</w:t>
      </w:r>
    </w:p>
    <w:p>
      <w:r>
        <w:t>- 12 - sur l’appelante pour la contraindre à accepter qu’il dispose d’un droit de visite, lui disant notamment qu’à défaut, il cesserait de contribuer à l’entretien financier de son fils ou engagerait des procédures judiciaires. Il aurait également contraint ou tenté de contraindre son fils à se rendre à un cours de taekwondo à la rentrée 2022, en lui disant « si tu ne vas pas au cours de taekwondo à la rentrée, tu iras en foyer ». A une date indéterminée, il aurait dit à son fils que sa mère mentait constamment et enfin, le 13 avril 2022, dans la classe de l’enfant et en présence de deux enseignantes, il aurait dit que l’appelante dormait et passait les nuits avec son fils, et que mère et fils s’embrassaient sur la bouche avec la langue, ceci quand bien même il connaissait l’inanité de ses déclarations, subsidiairement alors qu’il ne connaissait pas l’inanité de ses déclarations, mais dans le but de faire du mal à l’appelante. L’appelante a déposé plainte les 14 octobre 2021, 10 février, 22 mars, 5 et 25 mai 2022. Le curateur de l’enfant a déposé plainte pour les voies de fait supposées sur l’enfant le 26 juillet 2022. 2.4.1.2 L’appelante, qui a accès au dossier pénal, avait la possibilité de produire les pièces qu’elle estimait pertinentes, en première ou en deuxième instance. Elle en a d’ailleurs produit certaines, notamment le procès-verbal d’audition de l’intimé, dont il ressort que l’intimé admet les trois premiers faits et les propos tenus devant les enseignantes – en niant toute intention de nuire toutefois –, et conteste le reste. L’appelante n’explique pas en quoi la production du reste du dossier pénal serait utile à l’instruction et cela n’apparaît clairement pas être le cas. Les questions litigieuses ont trait au placement de l’enfant, au retrait de l’autorité parentale à la mère et à l’opération que l’enfant doit subir. L’ordonnance attaquée ne retient pas que l’intimé serait un père exemplaire ou exempt de tout reproche. Au contraire, le premier juge a retenu qu’il avait un tempérament colérique, et lui-même admet avoir tiré les cheveux et les oreilles de son fils. Pour le surplus, l’acte d’accusation ne fait que démontrer une fois de plus la situation de conflit extrême entre les parents. Ainsi, la production de l’intégralité du dossier pénal ne sera pas ordonnée, n’étant pas justifiée.</w:t>
      </w:r>
    </w:p>
    <w:p>
      <w:r>
        <w:t>- 13 - 2.4.2 L’appelante requiert aussi une seconde expertise ou une contre- expertise concernant la situation de l’enfant K.________, en particulier sur son évolution depuis le 7 août 2020, les compétences parentales et éducatives des parents, l’impact du conflit parental sur le développement de l’enfant et le besoin de mesures de protection et de soutien. Cette réquisition sera examinée avec la question du placement (cf. consid. 3.2.4.3 supra). 2.4.3 Enfin, à titre de mesure d’instruction, l’appelante a requis la tenue d’une audience. Elle ne précise toutefois dans quel but, respectivement pour examiner quel élément qui n’aurait pas déjà été apporté ou pu être apporté dans ses écritures. Il n’y a partant pas lieu de tenir d’audience. 3. 3.1 En premier lieu, l’appelante conteste le placement de K.________. 3.2 3.2.1 Même lorsque la maxime inquisitoire illimitée prévue par l’art. 296 al. 1 CPC est applicable,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in Revue suisse de procédure civile [RSPC] 2016 p. 190 ; Juge unique CACI 2 août 2021/372 consid. 3). L’appelant doit donc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Il ne peut le faire qu’en</w:t>
      </w:r>
    </w:p>
    <w:p>
      <w:r>
        <w:t>- 14 - reprenant la démarche du premier juge et en mettant le doigt sur les failles de son raisonnement. Si ces conditions ne sont pas remplies, l’appel est irrecevable. Tel est notamment le cas lorsque la motivation de l’appel ne fait que renvoyer aux moyens soulevés en première instance (TF 4A_610/2018 du 29 août 2019 consid. 5.2.2.1 et les réf. citées).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28 septembre 2022/485 consid. 2.2 et les réf. citées). En l’espèce, l’appelante « se réfère expressément aux explications qu’elle a fournies dans ses précédentes écritures » (appel, p. 40) et expose ensuite, sur 102 allégués et 35 pages (appel, pp. 3 à 38) un état de fait de son cru, mêlé de considérations et d’appréciations, dans lequel se trouvent reproduites certaines pièces et certaines de ses écritures. De tels procédés ne satisfont pas aux prescriptions de motivation de l’art. 311 CPC. Dès lors qu’il n’appartient pas au juge unique de comparer l’état de fait présenté par l’appelante avec celui retenu par le premier juge pour y déceler d’éventuelles divergences, ni, le cas échéant, de supputer les motifs pour lesquels il y aurait lieu de modifier l’état de fait dans le sens indiqué par ces divergences, il ne sera pas tenu compte de cette partie de l’appel, qui est irrecevable. 3.2.2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