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JI20.045502 vom 8. Dezember 2022</w:t>
      </w:r>
    </w:p>
    <w:p>
      <w:r>
        <w:t>VD Tribunal cantonal, 2022-12-08, FR</w:t>
      </w:r>
    </w:p>
    <w:p>
      <w:r>
        <w:rPr>
          <w:b/>
        </w:rPr>
        <w:t xml:space="preserve">Quelle: </w:t>
      </w:r>
      <w:r>
        <w:t>https://mcp.opencaselaw.ch/entscheid/vd_gerichte_JI20.045502</w:t>
      </w:r>
    </w:p>
    <w:p>
      <w:r>
        <w:t>FR: VD_GERICHTE JI20.045502 du 8 décembre 2022</w:t>
      </w:r>
    </w:p>
    <w:p>
      <w:r>
        <w:t>IT: VD_GERICHTE JI20.045502 del 8 dicembre 2022</w:t>
      </w:r>
    </w:p>
    <w:p>
      <w:pPr>
        <w:pStyle w:val="Heading2"/>
      </w:pPr>
      <w:r>
        <w:t>Erwägungen</w:t>
      </w:r>
    </w:p>
    <w:p>
      <w:r>
        <w:rPr>
          <w:b/>
        </w:rPr>
        <w:t>E. 8</w:t>
      </w:r>
    </w:p>
    <w:p>
      <w:r>
        <w:t>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 2.3 La cause étant soumise à la maxime inquisitoire illimitée, toutes les pièces produites par les parties, ainsi que les faits nouveaux invoqués par celles-ci, sont recevables indépendamment des conditions</w:t>
      </w:r>
    </w:p>
    <w:p>
      <w:r>
        <w:t>- 13 - posées par l’art. 317 al. 1 CPC (ATF 144 III 349 consid. 4.2.1 et les références citées). Il a été tenu compte de ces éléments dans la mesure de leur pertinence pour la résolution du litige. 3. 3.1 L’appelant reproche à l’autorité précédente une violation de son droit d’être entendu et de son droit à un procès équitable, sous l’angle de l’égalité des armes. Il estime que le premier juge n’aurait pas cru bon de lui conseiller de prendre un avocat. Il fait également grief à l’autorité précédente de ne pas s’être souciée de savoir s’il recevait ou non son courrier et s’il était à même de gérer seul une procédure sur le plan administratif et judiciaire. 3.2 Le droit d’être entendu est une garantie constitutionnelle prévue par l'art. 29 al. 2 Cst.,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(TF 4A_2/2013 du</w:t>
      </w:r>
    </w:p>
    <w:p>
      <w:r>
        <w:rPr>
          <w:b/>
        </w:rPr>
        <w:t>E. 8.1</w:t>
      </w:r>
    </w:p>
    <w:p>
      <w:r>
        <w:t>En définitive, l’appel, manifestement mal fondé, doit être rejeté en application de l’art. 312 al. 1 in fine CPC, et le jugement attaqué confirmé.</w:t>
      </w:r>
    </w:p>
    <w:p>
      <w:r>
        <w:t>- 33 -</w:t>
      </w:r>
    </w:p>
    <w:p>
      <w:r>
        <w:rPr>
          <w:b/>
        </w:rPr>
        <w:t>E. 8.2</w:t>
      </w:r>
    </w:p>
    <w:p>
      <w:r>
        <w:t>L’appelant a demandé l’assistance judiciaire. Toutefois, l’appel étant d’emblée manifestement mal fondé, il n’y a par conséquent pas lieu de donner suite à cette requête (art. 117 let. b CPC), qui est rejetée.</w:t>
      </w:r>
    </w:p>
    <w:p>
      <w:r>
        <w:rPr>
          <w:b/>
        </w:rPr>
        <w:t>E. 8.3</w:t>
      </w:r>
    </w:p>
    <w:p>
      <w:r>
        <w:t>Les frais judiciaires de deuxième instance, arrêtés à 800 fr., soit 600 fr. pour la décision (art. 63 al. 2 TFJC [tarif des frais judiciaires civils du 28 septembre 2010 ; BLV 270.11.5]) et 200 fr. pour la décision sur effet suspensif (cf. art. 7 al. 1 et 60 TFJC), sont mis à la charge de l’appelant, qui succombe (art. 106 al. 1 CPC). Il n’y a pas lieu à l’allocation de dépens, l’intimée n’ayant pas été invitée à se déterminer.</w:t>
      </w:r>
    </w:p>
    <w:p>
      <w:r>
        <w:rPr>
          <w:b/>
        </w:rPr>
        <w:t>E. 12</w:t>
      </w:r>
    </w:p>
    <w:p>
      <w:r>
        <w:t>juin 2013 consid. 3.2.1.1 ; ATF 136 I 265 consid. 3.2 ; ATF 135 II 286 consid. 5.1). Le principe de l’égalité des armes est une composante du droit d’être entendu et trouve aussi application dans le procès civil pour lequel il signifie notamment que chaque partie doit se voir offrir une possibilité adéquate de présenter son cas et de fournir des preuves pertinentes dans</w:t>
      </w:r>
    </w:p>
    <w:p>
      <w:r>
        <w:t>- 14 - des conditions qui n’entraînent pas de désavantages importants face à la partie adverse (ATF 133 I 1 consid. 5.2 et 5.3.1, JdT 2008 I 239). A noter qu’à teneur de l’art. 69 al. 1 CPC, si une partie est manifestement incapable de procéder elle-même, le tribunal peut l’inviter à commettre un représentant. Si la partie ne donne pas suite à cette injonction dans le délai imparti, le tribunal en désigne un. Cependant, le juge évaluant la capacité de procéder et la nécessité d’une injonction au sens de l’art. 69 CPC devra appliquer cette disposition de manière restrictive dès lors que l’absence d’obligation de procéder par l’entremise d’un avocat est un principe bien établi en Suisse (Jeandin, op. cit. n. 5 ad art. 69 CPC). 3.3 En l’espèce, les parties sont opposées depuis le mois de mai 2020. L’intimée a été assistée d’un mandataire professionnel depuis le début de la procédure et c’est manifestement le choix de l’appelant de ne pas l’avoir été avant la procédure d’appel. Il ressort en outre clairement du procès-verbal de l’audience d’instruction du 29 avril 2021 que le premier juge a conseillé à l’appelant de consulter un avocat pour la suite de la procédure. Or celui-ci n’en a rien fait. Il n’a pas non plus jugé ensuite utile de répondre aux réquisitions de pièces pourtant claires de l’autorité s’agissant de ses revenus et de ses charges et, ce malgré les relances de l’autorité précédente, ou même d’aller chercher les recommandés qui lui étaient adressés. L’appelant ne s’est pas non plus présenté à l’audience de plaidoiries finales et de jugement, de sorte qu’il est malvenu de se plaindre, au stade de l’appel, d’une violation de son droit d’être entendu. Ce grief, téméraire, est donc rejeté. Pour le surplus, l’appelant méconnaît la porte du droit à l’égalité des armes qui n’implique pas qu’une partie soit assistée obligatoirement car l’autre l’est. Ce principe n’impose pas non plus de proposer un avocat à une partie, notamment lorsque celle-ci ne répond pas aux convocations dûment envoyées. A cet égard, s’agissant du reproche fait au premier juge de ne pas s’être préoccupé de savoir si l’appelant recevait son courrier, la consultation du dossier de la cause</w:t>
      </w:r>
    </w:p>
    <w:p>
      <w:r>
        <w:t>- 15 - montre que chaque envoi recommandé non distribué à l’appelant lui a été renvoyé par pli simple afin de s’assurer précisément qu’il en ait connaissance, en conformité avec l’art. 138 al. 3 let. a CPC. Il en ressort également que l’appelant n’était à l’évidence pas incapable de procéder par lui-même, s’agissant au demeurant d’une cause ne présentant pas de difficultés factuelles ou juridiques particulières. A cet égard, l’état anxieux et dépressif dont se prévaut l’intéressé (cf. appel, p. 9) ne signifie toutefois pas encore, fut-il avéré, que celui-ci aurait été dans l’impossibilité de procéder lui-même, justifiant par la même occasion la nomination d’un avocat d’office. Le moyen est donc mal fondé. 4. Dans un deuxième moyen, l’appelant conclut à une garde alternée, présentant librement sa version des faits s’agissant de la garde et des relations personnelles. 4.1 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précité consid. 4.3.1 ; TF 4A_74/2018 du 28 juin 2018 consid. 3.2 ; TF 4A_218/2017 du 14 juillet 2017 consid. 3.1.2, SJ 2018 I 21 ; TF 5A_438/2012 du 27 août 2012 consid. 2.2, RSPC 2013 p.</w:t>
      </w:r>
    </w:p>
    <w:p>
      <w:r>
        <w:t>- 16 - 29). La motivation doit être suffisamment explicite pour que l’instance d’appel puisse la comprendre aisément, ce qui suppose une désignation précise des passages de la décision que l’appelant attaque et des pièces du dossier sur lesquelles repose sa critique (ATF 138 III 374 précité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4.2 Selon l’art. 298 al. 2ter CC (Code civil suisse du 10 décembre 1907 ; RS 210),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2014 pp. 511 ss, spéc. n. 1.6.2 p. 545 ; TF 5A 821/2019 du 14 juillet 2020 consid. 4.1 ; TF 5A_200/2019 du 29 janvier 2020 consid. 3.1.2).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w:t>
      </w:r>
    </w:p>
    <w:p>
      <w:r>
        <w:t>- 17 -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3e éd. 2017, n. 10 ad art. 298 CC ; Message Entretien de l’enfant, n. 1.6.2 pp. 546 s.). En matière d’attribution des droits parentaux, le bien de l’enfant constitue la règle fondamentale (ATF 141 III 328 consid. 5.4), les intérêts des parents devant être relégués au second plan (ATF 142 III 617 consid. 3.2.3 ; ATF 131 III 209 consid. 5 ; TF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précité consid. 3.2.3). Si les parents disposent tous deux de capacités éducatives, le juge doit dans un deuxième temps évaluer les autres critères d’appréciation pertinents pour l’attribution de la garde. Au nombre des critères essentiels pour cet</w:t>
      </w:r>
    </w:p>
    <w:p>
      <w:r>
        <w:t>- 18 -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précité consid. 3.2.3 ; TF 5A_821/2019 du 14 juillet 2020 consid. 4.1 ; TF 5A_794/2017 du 7 février 2018 consid. 3.1 ; TF 5A_450/2016 du 4 octobre 2016 consid. 4.3.1 et les réf. citées). Pour apprécier ces critères, le juge du fait, qui connaît le mieux les parties et le milieu dans lequel vit l’enfant, dispose d’un large pouvoir d’appréciation (ATF 115 II 317 consid. 2 et 3 ; TF 5A_450/2016 précité consid. 4.3.2 ; TF 5A_976/2014 du 30 juillet 2015 consid. 2.4). 4.3 L’autorité précédente a retenu qu’il convenait de maintenir la garde de l’enfant auprès de sa mère, auprès de laquelle il vivait depuis sa naissance, aux côtés de son demi-frère. Elle a retenu que les inquiétudes de l’appelant à cet égard avaient été examinées, puis écartées dans le cadre de l’évaluation faite par l’UEMS. Elle a finalement constaté que l’enfant se développait bien auprès de sa mère, considérant implicitement qu’une garde alternée n’était pas envisageable. 4.4 En l’espèce, l’appelant ne rend pas vraisemblable, preuve à l’appui ses dires que le président aurait, sur ces points, procédé sur un élément ou un autre à une appréciation inexacte des faits. Il n’expose pas non plus en quoi sa conclusion tendant à l’instauration d’une garde alternée, certes formellement recevable, pourrait être admise. Il n’est en</w:t>
      </w:r>
    </w:p>
    <w:p>
      <w:r>
        <w:t>- 19 - particulier pas établi, au vu d’éléments concrets, ni même d’ailleurs allégué, que le principe de la garde alternée, tel que prévu par la loi, serait conforme au bien de l’enfant. En effet, l’enfant B.________, âgé aujourd’hui de trois ans et demi, a vécu principalement chez sa mère depuis la séparation des parties en avril 2020, soit lorsque l’enfant était âgé de 14 mois. Tout au plus, les relations personnelles de l’appelant sur son fils se sont exercées, depuis la séparation des parties en avril 2020, un samedi sur deux de 9 heures à 17 heures. B.________ n’apparaît ainsi jamais avoir dormi autre part que chez sa mère ou avec elle. En outre, l’appelant ne conteste pas que les parties ne collaborent actuellement absolument pas s’agissant de l’enfant, ce qui suffit déjà à exclure l’instauration d’une garde alternée. Celle-ci apparaît totalement prématurée, au vu de la manière dont le père s’est occupé de l’enfant jusqu’alors et de l’âge de celui-ci. Au contraire, les deux parents, au vu des tensions et des recommandations de l’UEMS, dont l’assistante sociale a pu parler aux concernés et se rendre compte des problèmes de communication entre eux, d’une part, et de l’impact de ceux-ci sur l’enfant d’autre part, devront suivre le planning établi par l’UEMS et repris par le premier juge afin d’aller, espère-t-on, vers une augmentation progressive du droit de visite du père et ce, dans l’intérêt de l’enfant. Ce n’est que si le droit de visite, tel qu’aménagé actuellement, se passe bien, – et notamment que le père respecte les horaires impartis par le Point Rencontre, de sorte que B.________ voit son père lorsque celui- ci est censé venir –, qu’il pourra apparaître dans l’intérêt de l’enfant que ce droit de visite soit élargi et exercé hors passage par le Point Rencontre. Or jusqu’à ce jour, l’appelant n’a pas démontré son investissement pour son enfant, se désintéressant totalement de la procédure de première instance qui portait pourtant sur ses relations personnelles avec son fils. L’appelant n’a jusqu’alors pas semblé non plus prendre conscience que les tensions – dont il est à tout le moins en partie responsable – lors des passages de l’enfant ont un impact négatif sur celui-ci, ce qui n’est à l’évidence pas tolérable. Le contenu de l’appel est à cet égard éloquent et témoigne de l’incompréhension du problème par l’appelant. En effet, ce dernier reproche à l’intimée d’exiger d’être informée 48 heures en avance,</w:t>
      </w:r>
    </w:p>
    <w:p>
      <w:r>
        <w:t>- 20 - demande qu’il qualifie de chicanière. Or dès lors que les parties ont fixé précisément que l’appelant viendrait chercher l’enfant à 9 heures, il n’a pas à prévenir à l’avance, mais se doit de respecter les horaires convenus, l’intimée n’étant pas à sa disposition. Surtout, l’appelant discute, sans preuve, des responsabilités de chacun, faisant valoir dans son appel (cf. pp. 3 ss, let B), qu’il ne serait pas possible de décréter qui a finalement raison ou tort et en substance à qui était imputable les tensions lors de la remise de l’enfant le samedi. La question n’est toutefois pas de savoir qui est responsable, mais d’éviter les tensions pour le bien de l’enfant, ce qu’un passage par Point Rencontre au lieu d’une personne de confiance – sur laquelle les parties ne sont manifestement pas d’accord – garantit. Un tel passage, dans ces conditions, apparaît en effet indispensable actuellement vu la compréhension de l’appelant de la situation et des besoins de protection de l’enfant et devra être maintenu aussi longtemps que les parties n’arriveront pas à communiquer ou à trouver une personne, d’entente entre elle, qui puisse assurer la remise sereine de l’enfant. La mise en œuvre de Point Rencontre obligera en effet les parents à respecter des modalités imposées par un organisme indépendant, et non par un tiers proposé par l’un ou l’autre des parents, et permettra ainsi de mettre un terme aux problèmes récurrents s’agissant des horaires d’une part, et des divergences s’agissant de la personne de confiance d’autre part, soit autant d’éléments qui ont été relevés de manière circonstanciée dans le rapport d’évaluation de l’UEMS. L’appelant indique encore que l’enfant aurait un retard de langage (cf. appel p. 5), laissant penser que la prise en charge par le parent gardien, soit en l’occurrence la mère, ne serait pas adéquate, respectivement que B.________, de même que son frère R.________, ne seraient pas assez stimulés. La Cour de céans se bornera à constater que l’un n’implique pas l’autre, sauf à faire porter aux parents qui s’occupent des enfants la responsabilité de tout retard dans leur développement, ce qui n’est pas défendable. A cela s’ajoute que le rapport d’évaluation de l’UEMS, rendu à l’issue d’une période d’évaluation de plusieurs mois, ne relève aucun élément dans le sens d’un quelconque retard de langage de l’enfant B.________, si ce n’est le point de vue de la Dre [...], pédiatre (cf.</w:t>
      </w:r>
    </w:p>
    <w:p>
      <w:r>
        <w:t>- 21 - rapport d’évaluation de l’UEMS, p. 5), qui avait conseillé à l’intimée de placer l’enfant en collectivité afin de le stimuler, ce que l’intéressée a fait. Dès lors, les allégations de l’appelant à ce propos ne sont corroborées par aucun élément objectif du dossier. Il s’ensuit que le grief relatif à la garde alternée est rejeté et le jugement entrepris confirmé sur ce point. Au demeurant, l’appelant ne saurait voir une contribution due rétroactivement réduite dès avant la mise en place de la garde alternée qu’il requiert. Les calculs de pensions qu’il effectue, fondés sur l’existence, qui plus est depuis mai 2020, d’une garde alternée sont ainsi erronés. 5. L’appelant conclut ensuite à l’instauration d’une curatelle de surveillance des relations personnelles à forme de l’art. 308 al. 2 CC. 5.1 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 TF 5A_415/2020 du 18 mars 2021 consid. 6.1 ; TF 5A_983/2019 du 13 novembre 2020 consid. 9.1 et les références). La curatelle éducative de surveillance des</w:t>
      </w:r>
    </w:p>
    <w:p>
      <w:r>
        <w:t>- 22 - relations personnelles au sens de l'art. 308 al. 2 CC a pour but de faciliter, malgré les tensions existantes entre les père et mère, le contact entre l'enfant et le parent qui n'est pas titulaire du droit de garde et de garantir l'exercice du droit de visite (ATF 140 III 241, JdT 2014 11 369 et réf. cit. ; RMA 2014, pp. 316 et 317). 5.2 En l’espèce, l’appelant n’expose pas, comme il lui appartenait, pour quel motif le raisonnement de l’autorité précédente serait sur ce point infondé. Ce grief, non motivé, est par conséquent irrecevable (cf. art. 311 al. 1 CPC). En tout état de cause, le raisonnement de l’autorité de première instance, selon lequel l’instauration d’une curatelle de surveillance des relations personnelles est prématurée, l’intervention d’un tiers pour fixer le cadre de l’exercice des rencontres n’étant pas nécessaire tant que perdure la mise en œuvre de Point Rencontre, est convaincante. 6. L’appelant prend également une conclusion tendant à ce que le domicile légal de l’enfant B.________ soit fixé chez lui. A nouveau, l’appelant ne satisfait pas aux exigences de motivation sur ce point, de sorte que ce grief est également irrecevable. 7. L’appelant conteste ensuite le montant de la contribution qui a été mise à sa charge, invoquant à tort un montant de 2'949 fr. 10 (cf. all. 57 de l’appel) alors que la contribution litigieuse est de 1'290 francs. 7.1 7.1.1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- 23 - Composent l’entretien convenable de l’enfant les coûts directs générés par celui-ci et les coûts, indirects, liés à sa prise en charge (ATF 144 III 377 consid. 7).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7.1.2 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w:t>
      </w:r>
    </w:p>
    <w:p>
      <w:r>
        <w:t>- 24 - 7.1.3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7.1.4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 7.1.5 Chez les parents, appartiennent typiquement au minimum vital élargi du droit de la famille les impôts, puis les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w:t>
      </w:r>
    </w:p>
    <w:p>
      <w:r>
        <w:t>- 25 - cas échéant, des dépenses de prévoyance à des institutions privées de la part de travailleurs indépendants. 7.1.6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7.1.7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4.2.8). En revanche, la contribution de prise en charge reste en tous les cas limitée au minimum vital élargi du droit de la famille, même en cas de situation financière supérieure à la moyenne (ATF 147 III 265 loc. cit. ; ATF 144 III 377 consid. 7.1.4). 7.2 En premier lieu, l’appelant critique le revenu hypothétique qui lui a été imputé, alléguant être dans l’incapacité de travailler et de ne pas avoir pu obtenir son CFC ensuite d’un accident survenu en 2007. Il reproche en outre au premier juge de n’avoir pas pris en considération les certificats médicaux établis par le Dr Benkortbi et invoque qu’il touche le revenu d’insertion. 7.2.1 Pour fixer la contribution d’entretien, le juge doit en principe tenir compte du revenu effectif des parties. Le débiteur d’entretien et le créancier pouvent néanmoins se voir imputer un revenu hypothétique supérieur. Il s’agit ainsi d’inciter la personne à réaliser le revenu qu’elle est en mesure de se procurer et qu’on peut raisonnablement exiger d’elle</w:t>
      </w:r>
    </w:p>
    <w:p>
      <w:r>
        <w:t>- 26 -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arrêts cités).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d'assursance-chômage ne peuvent pas être repris sans autre considération. Il faut aussi tenir compte des possibilités de gain qui n'exigent pas de formation professionnelle achevée et se situent dans la</w:t>
      </w:r>
    </w:p>
    <w:p>
      <w:r>
        <w:t>- 27 -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exerce une influence sur leur capacité à subvenir aux besoins de l'enfant mineur (ATF 137 III 118 consid. 3.1 ; TF 5A_461/2019 du 6 mars 2020 consid. 3.1 et les réf. citées ; principes rappelés à l’ATF 147 III 265 consid. 7.4). 7.2.2 En l’état, le premier juge, après avoir requis de l’appelant, à plusieurs reprises, qu’il produise des informations sur sa situation financière et n’avoir rien reçu, a estimé que l’intéressé était a priori capable de travailler et lui a imputé un revenu hypothétique. A cet égard, il a retenu que l’appelant était en bonne santé et disposait d’une pleine capacité de gain. Le premier juge a tout d’abord relevé que le revenu hypothétique qui pourrait être imputé à l’appelant dans le domaine de la maçonnerie, s’élevait, au regard des statistiques, à 6'123 francs. Se basant sur les allégations de l’intimée selon lesquelles l’appelant allait entreprendre une réinsertion professionnelle afin de travailler dans l’informatique, le premier juge a finalement retenu, en se basant sur l’outil statistique Salarium, pour un emploi dans ce domaine pour un salarié sans formation professionnelle complète, un revenu brut, à 100 %, de 5'662 francs. Il a en outre déduit le montant des charges sociales par 11.225 % pour parvenir à un revenu net de 5'026 fr. 45. 7.2.3 7.2.3.1 S’agissant du grave accident dont il aurait été victime en 2007, qui aurait engendré des problèmes de santé importants et qui l’aurait empêché d’obtenir son CFC de maçon, l’appelant se contente d’alléguer ces faits sans toutefois les prouver, de sorte que ceux-ci ne sont pas établis et ne sauraient par conséquent être pris en considération. Il invoque encore à cet égard ses déclarations en première instance, qu’il ne précise pas plus, ni n’établit.</w:t>
      </w:r>
    </w:p>
    <w:p>
      <w:r>
        <w:t>- 28 - 7.2.3.2 L’appelant fait ensuite valoir que malgré les certificats établis par le Dr Benkortbi entre 2021 et 2022, le premier juge n’a pas cru bon « de s’interroger » sur le fait que l’appelant ne serait peut-être pas en capacité de travailler, quand bien même il n’était pas assisté d’un avocat, ni n’avait présenté de diplôme, ni aucune pièce attestant qu’il était en mesure de trouver un emploi. 7.2.3.3 En matière de droit de la famille, le dépôt de n’importe quel certificat médical ne suffit pas à rendre vraisemblable l’incapacité de travail alléguée. En effet, l’élément déterminant pour la valeur probante d’un rapport médical n’est ni son origine ni sa désignation, mais son contenu : il importe notamment que la description des interférences médicales soit claire et que les conclusions du médecin soient bien motivées (TF 5A_266/2017 du 29 novembre 2017 consid. 6.3). Une attestation médicale qui relève l’existence d’une incapacité de travail sans autres explications n’a ainsi pas une grande force probante (TF 5A_1040/2020 du 8 juin 2021 consid. 3.1.2 ; TF 5A_239/2017 du 14 septembre 2017 consid. 2.4, publié in FamPra.ch 2018 p. 212 ; Juge délégué CACI 24 juillet 2020/318). 7.2.3.4 En l’espèce, l’appelant n’a produit ses certificats médicaux qu’au stade de l’appel, de sorte qu’on ne peut pas reprocher au premier juge de ne pas les avoir pris en compte. Celui-ci a en outre demandé, à plusieurs reprises, à l’appelant de produire des pièces attestant de sa situation financière et, partant de son absence de revenus. Le président s’est ainsi non seulement questionné à ce sujet, mais il a en outre interrogé l’appelant qui, en violation crasse de son obligation de collaborer prévue par les art. 160 al. 1 let. b et 164 CPC, n’a daigné fournir aucune information avant qu’il ne reçoive une décision lui imposant de contribuer à l’entretien de son enfant. Le reproche fait au premier juge est ainsi téméraire. On relèvera encore qu’en vertu de la maxime inquisitoire illimitée applicable (cf. consid. 2.2 supra), l’appelant était libre de produire en appel les pièces qu’il souhaitait. Or bien qu’assisté par un mandataire</w:t>
      </w:r>
    </w:p>
    <w:p>
      <w:r>
        <w:t>- 29 - professionnel, celui-ci n’a toutefois produit aucune pièce attestant qu’il ait subi un accident en 2007 qui l’aurait empêché d’obtenir son CFC de maçon. Il ne produit non plus aucun élément probant s’agissant de la procédure pendante devant l’Office de l’assurance-invalidité – encore moins ses chances de succès –, alors même qu’il indique être en attente d’une décision de l’AI. Il ne fournit pas plus d’éléments sur la date à partir de laquelle il a demandé à être considéré comme incapable de travailler et ce alors que la pension est due depuis le mois de mai 2020. S’agissant des certificats médicaux établis à l’appui de son grief, il est à relever qu’ils sont tous établis par un seul médecin généraliste. Conformément à la jurisprudence citée ci-dessus, ils ne valent pas plus que des déclarations de parties. En outre, le premier certificat date du 30 novembre 2021, soit en pleine procédure. L’un des trois établis à cette date indique, sans aucune explication, que l’appelant serait en incapacité de travail pour une durée indéterminée, à 100 %, sans qu’aucune médication ne soit indiquée. Le 7 décembre 2021, deux autres certificats sont établis par le même médecin, qui n’atteste plus d’une incapacité de travail de l’appelant, mais qui se borne à constater qu’il aurait quelques limitations fonctionnelles d’une part, qu’il nécessiterait « un traitement médicaux », sans autres explications, ainsi qu’un « régime alimentaire sans graisses » d’autre part. Force est ainsi de constater qu’aucun autre certificat n’établit d’incapacité de travail pour la période litigieuse. De tels éléments démontrent dès lors tout au plus que l’appelant a quelques limitations fonctionnelles – dont on ne connaît ni la nature, ni la durée –, et non qu’il n’est pas apte à travailler, comme l’a retenu le premier juge. Dans ces conditions, faute d’autres éléments de la part de l’appelant, alors qu’il était assisté et qu’il aurait pu produire toutes les pièces qu’il voulait, et qu’il ne requiert au demeurant pas la production d’autres documents, on ne saurait considérer que les constatations faites par l’autorité précédente de sa capacité de travail étaient inexactes et partant qu’un revenu hypothétique, tel que retenu par l’autorité précédente, ne pouvait lui être imputé. Que l’appelant touche le revenu d’insertion, qui plus est depuis le 6 septembre 2022 (cf. pièce 5 produite à l’appui de l’appel), est au plus propre à démontrer que l’appelant n’a pas d’autres sources de revenus</w:t>
      </w:r>
    </w:p>
    <w:p>
      <w:r>
        <w:t>- 30 - actuellement. Ce fait ne suffit en revanche pas pour établir qu’il n’a pas réalisé de revenu, respectivement qu’il n’était pas apte, en fournissant les efforts que l’on pouvait attendre de lui conformément aux critères applicables en matière de fixation de contribution envers un enfant mineur, à réaliser un revenu notamment depuis mai 2020 et pour le futur. On rappellera à cet égard à l’appelant, qui semble s’étonner que le premier juge lui ait imputé un revenu hypothétique, que l’art. 164 CPC, dont la teneur lui avait été rappelée lors des courriers lui ordonnant de produire des pièces, prévoit que lorsqu’une partie refuse de collaborer sans motif valable, le tribunal en tient compte lors de l’appréciation des preuves. Or en l’espèce et comme cela a déjà été relevé à plusieurs reprises, l’appelant avait été sollicité plusieurs fois d’établir sa situation financière et personnelle et n’y a donné aucune suite en première instance. Le premier juge a ainsi procédé comme le lui permettait l’art. 164 CPC, en utilisant les statistiques fédérales, ce qui ne prête également pas flanc à la critique. Au demeurant, le fait que l’appelant n’aurait pas eu son CFC en maçonnerie ne l’empêchait pas de travailler dans ce domaine et d’obtenir, par ses quelque dix-huit années d’expérience, un salaire d’au moins 5'026 fr. 45 net. Ce revenu, même pour un emploi sans formation complète dans le domaine de l’informatique, ne prête pas flanc à la critique. Il s’ensuit notamment que le grief de constatation inexacte des faits relatif à la capacité de gain de l’appelant, tel que motivé, est infondé. 7.3 L’appelant critique également ses charges telles que retenues par le premier juge. 7.3.1 L’appelant soutient que son minimum vital devrait être de 1'350 fr. et non de 1'200 fr. comme l’a retenu le premier juge. Tel n’est toutefois pas le cas, l’appelant vivant seul et non pas avec son fils, qui plus est depuis mai 2020. C’est ainsi à juste titre que le président a retenu un montant de 1'200 fr. pour le minimum vital de base, tel que fixé dans les lignes directrices pour le calcul du minimum d’existence en matière de</w:t>
      </w:r>
    </w:p>
    <w:p>
      <w:r>
        <w:t>- 31 - poursuite (minimum vital) selon l’art. 93 LP élaborées par la Conférence des préposés aux poursuites et faillite de Suisse pour un débiteur vivant seul. Le grief ne peut être que rejeté. 7.3.2 S’agissant de ses autres charges, l’appelant invoque une charge de loyer de 1'215 fr. alors que le premier juge avait retenu une charge hypothétique, faute pour l’appelant d’avoir fourni les informations requises, de 1'200 francs. Cela ne change toutefois pas les calculs opérés en faveur de l’appelant, dès lors qu’un montant de 150 fr. a été pris en considération par le premier juge à titre de forfait de droit de visite, en contradiction avec la jurisprudence fédérale, selon laquelle un tel forfait appartient aux charges prises en compte dans le minimum vital du droit de la famille seulement et ne devait par conséquent pas être pris en considération vu la situation financière de la famille réduite au minimum vital strict. Au surplus, un tel forfait relatif à l’exercice du droit de visite n’avait de toute façon pas lieu d’être dès lors que l’appelant exerce au mieux son droit de visite sur son fils âgé de trois ans huit heures par jour, sans nuit, un samedi sur deux et qu’il s’exercera ensuite, pour une durée minimale de six mois, pendant une durée de six heures par l’intermédiaire de Point Rencontre. 7.4 L’appelant invoque encore des dettes à hauteur de 553 fr. 05. Rien n’atteste qu’il s’en acquitte, de sorte que ce montant ne saurait être pris en compte. 7.5 L’appelant invoque, sans aucune argumentation juridique, dans sa partie « Faits » que le montant versé à titre de prestations complémentaires de 2'620 fr. devrait être retenu pour l’intimée, « au vu qu’il est évident que l’appelant n’est pas en capacité de verser la pension qu’on lui impute », que le BRAPA va verser la pension contestée et que l’intimée s’enrichira d’autant « sans raison ! ». Un tel argumentaire n’est pas propre à imposer de prendre en considération ce montant. En effet, selon la jurisprudence fédérale (TF 5A_465/2020 du 23 novembre 2020 consid. 4.2 et 4.4 ; 5A_128/2016 du</w:t>
      </w:r>
    </w:p>
    <w:p>
      <w:r>
        <w:t>- 32 - 22 août 2016 consid. 5.1.4.1) citée par le premier juge – et dont l’appelant ne conteste pas l’application ici – les prestations complémentaires ne sont pas prises en compte (cf. également CACI 26 juillet 2022/386 consid. 6.2), la question du remboursement par la mère des aides perçues ne relevant pas du présent litige (cf. TF 5A_836/2021 du 29 août 2022 consid. 4.3). C’est dès lors à bon droit que le président n’a pas retenu les prestations complémentaires perçues par l’intimée à titre de revenus. 7.6 L’appelant invoque encore dans sa partie « Faits » que des frais de garderie supplémentaires par 190 fr. seraient inutiles et à la charge du contribuable. Tel n’est toutefois pas le cas au vu de l’avis des professionnels qui ont justement indiqué que le fait que B.________ fréquente une garderie deux matinées par semaine était, dans un premier temps, utile afin de favoriser son développement et que la poursuite d’un accueil en collectivité était préconisée pour son épanouissement. Les frais pris en compte à ce titre par l’autorité précédente sont ainsi justifiés et doivent donc être confirmés. 7.7 Après ces « faits », l’appelant invoque encore une constatation inexacte des faits. Tel que motivé, sans référence à un fait précis, ce moyen est irrecevable. Il est au demeurant impropre, après des généralités sous réserve de l’âge de l’appelant, à conduire à « ce que l’état de fait exposé ci-dessus » soit retenu en lieu et place de l’état de fait de première instance. Une telle manière de faire démontre une méconnaissance importante des règles de procédure.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