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JI20.043373 vom 31. Mai 2022</w:t>
      </w:r>
    </w:p>
    <w:p>
      <w:r>
        <w:t>VD Tribunal cantonal, 2022-05-31, FR</w:t>
      </w:r>
    </w:p>
    <w:p>
      <w:r>
        <w:rPr>
          <w:b/>
        </w:rPr>
        <w:t xml:space="preserve">Quelle: </w:t>
      </w:r>
      <w:r>
        <w:t>https://mcp.opencaselaw.ch/entscheid/vd_gerichte_JI20.043373</w:t>
      </w:r>
    </w:p>
    <w:p>
      <w:r>
        <w:t>FR: VD_GERICHTE JI20.043373 du 31 mai 2022</w:t>
      </w:r>
    </w:p>
    <w:p>
      <w:r>
        <w:t>IT: VD_GERICHTE JI20.043373 del 31 maggio 2022</w:t>
      </w:r>
    </w:p>
    <w:p>
      <w:pPr>
        <w:pStyle w:val="Heading2"/>
      </w:pPr>
      <w:r>
        <w:t>Erwägungen</w:t>
      </w:r>
    </w:p>
    <w:p>
      <w:r>
        <w:rPr>
          <w:b/>
        </w:rPr>
        <w:t>E. 3.1</w:t>
      </w:r>
    </w:p>
    <w:p>
      <w:r>
        <w:t>; TF 5A_151/2016 du 27 avril 2016 consid. 3.1 et les références citées). En ce qui concerne la modification de la contribution d'entretien due à un enfant, la survenance d'un fait nouveau – important et durable – n'entraîne toutefois pas automatiquement une modification de la contribution d'entretien ; celle-ci ne se justifie que lorsque la</w:t>
      </w:r>
    </w:p>
    <w:p>
      <w:r>
        <w:t>- 22 - différence entre le montant de la contribution d'entretien nouvellement calculée sur la base de tels faits et celle initialement fixée est d'une ampleur suffisante (TF 5A_461/2019 du 6 mars 2020 consid. 5.1 et les références citées).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5A_230/2019 du 31 janvier 2020 consid. 6.1).</w:t>
      </w:r>
    </w:p>
    <w:p>
      <w:r>
        <w:rPr>
          <w:b/>
        </w:rPr>
        <w:t>E. 3.2.1</w:t>
      </w:r>
    </w:p>
    <w:p>
      <w:r>
        <w:t>Dans sa jurisprudence récente, le Tribunal fédéral considère que pour calculer l’entretien en droit de la famille, il y a lieu de se fonder sur la méthode des frais de subsistance (Lebenshaltungskosten) (ATF 147 III 265 consid. 6.1). Sauf dans le cas de situations particulières dans lesquelles son application ne ferait aucun sens, comme le cas de situations financières très favorables, notamment pour des raisons liées aux besoins concrets (ATF 147 III 265 consid. 6.6 in fine), cette méthode a vocation à s’appliquer à l’échelle de la Suisse à l’ensemble des calculs d’entretien en droit de la famille (ATF 147 III 301 consid. 4.3 ; ATF 147 III 293 consid. 4 ;</w:t>
      </w:r>
    </w:p>
    <w:p>
      <w:r>
        <w:t>- 14 - Saul, Le nouveau droit quasi prétorien de l’entretien entre (ex) conjoints, analyse des arrêts du Tribunal fédéral TF 5A_907/2018, TF 5A_104/2018, TF 5A_891/2018 et TF 5A_800/2019, Newsletter DroitMatrimonial.ch mars 2021, spéc. p. 15).</w:t>
      </w:r>
    </w:p>
    <w:p>
      <w:r>
        <w:rPr>
          <w:b/>
        </w:rPr>
        <w:t>E. 3.2.2</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(ATF 147 III 265 consid. 7.2 et les références citées). Selon ces Lignes directrices, le montant de base mensuel pour un débiteur monoparental s’élève à 1'350 fr., celui pour un enfant jusqu’à 10 ans est de 400 fr. et il est tenu compte de la moitié du montant de base pour couple, à savoir 850 fr. (1'700 fr. : 2), s’agissant d’une personne sans enfant vivant en colocation ou communauté de vie. Les frais médicaux non couverts par une assurance, ou les frais dentaires réguliers, sont également pris en compte dans le minimum vital du droit des poursuites, dans la mesure où ils sont effectivement payés, liés à des traitements ordinaires, nécessaires, en cours ou imminents (Stoudmann, Entretien de l’enfant et de l’(ex-)époux – Aspects pratiques, in Famille et argent, 11e Symposium en droit de la famille 2021, Fountoulakis/Jungo [édit.], Fribourg 2022, p. 37 et les références citées).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w:t>
      </w:r>
    </w:p>
    <w:p>
      <w:r>
        <w:t>- 15 -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références citées).</w:t>
      </w:r>
    </w:p>
    <w:p>
      <w:r>
        <w:rPr>
          <w:b/>
        </w:rPr>
        <w:t>E. 3.2.3</w:t>
      </w:r>
    </w:p>
    <w:p>
      <w:r>
        <w:t>L’entretien convenable n’étant pas une valeur fixe, mais une valeur dynamique dépendant des moyens à disposition, l’entretien convenable doit être élargi à ce que l’on nomme le minimum vital du droit de la famille dès que les moyens financiers le permettent (ATF 147 III 265 consid. 5.4 et 7.2).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Pour les coûts directs des enfants, appartiennent au minimum vital du droit de la famille une part des impôts, une part aux coûts de logement correspondant à la situation réelle plutôt qu’au minimum vital LP et, le cas échéant, des primes d’assurance-maladie complémentaire (ATF 147 III 265 loc. cit.).</w:t>
      </w:r>
    </w:p>
    <w:p>
      <w:r>
        <w:rPr>
          <w:b/>
        </w:rPr>
        <w:t>E. 3.3.1</w:t>
      </w:r>
    </w:p>
    <w:p>
      <w:r>
        <w:t>Les charges mensuelles de l’appelant, déterminées en l’état selon le minimum vital LP, sont les suivantes en tenant compte des faits retenus ci-dessus (cf. supra let. C ch. 7a) :</w:t>
      </w:r>
    </w:p>
    <w:p>
      <w:r>
        <w:t>- 16 - Base mensuelle minimum vital 850 fr. 00 Participation au loyer de sa mère 678 fr. 50 LAMal (entièrement subsidiée) 0 fr. 00 Total 1'528 fr. 50 On précisera qu’il n’a pas été tenu compte du forfait usuel pour frais de recherche d’emploi dès lors que l’intéressé est en incapacité de travail totale et qu’il n’établit pas avoir procédé à une quelconque démarche en ce sens, même pour la période précédant son incapacité de travail. En outre, contrairement à ce que soutient l’intimée, il apparaît vraisemblable, sur la base des déclarations de l’intéressé et des décomptes de prestations du RI, que l’appelant verse effectivement à sa mère qui le loge un montant de 678 fr. 50 à titre de participation au loyer et aux charges. Dans la mesure où l’appelant ne réalise aucun revenu, son déficit équivaut au total de ses charges.</w:t>
      </w:r>
    </w:p>
    <w:p>
      <w:r>
        <w:rPr>
          <w:b/>
        </w:rPr>
        <w:t>E. 3.3.2</w:t>
      </w:r>
    </w:p>
    <w:p>
      <w:r>
        <w:t>Pour ce qui est de l’intimée, son loyer s’élève à 2'270 fr. par mois. Ce montant comprend toutefois le loyer d’une place de parking par 170 francs. Dans la mesure où l’intéressée ne rend pas vraisemblable que l’utilisation d’un véhicule automobile lui serait nécessaire pour acquérir son revenu et où, disposant d’horaires réguliers, il peut être attendu d’elle d’effectuer en transports publics le trajet depuis son domicile à [...] jusqu’à son lieu de travail à [...], qui est proche de la gare, il ne sera pas tenu compte au stade du minimum vital LP du loyer de la place de parc dans ses frais de logement. Après déduction de la part de l’enfant, par 15%, le loyer de l’intimée sera comptabilisé à raison de 1'785 fr. ([2'270 fr. - 170 fr.] - 15%). Aucune dépense ne sera prise en compte pour sa prime d’assurance-maladie obligatoire dès lors que l’intéressée a déclaré qu’un</w:t>
      </w:r>
    </w:p>
    <w:p>
      <w:r>
        <w:t>- 17 - montant de 150 fr. était directement déduit de son salaire à ce titre et qu’elle n’avait rien d’autre à payer, étant précisé que la retenue de 150 fr. sur son salaire a été prise en considération pour déterminer son revenu mensuel net. Il n’y a de plus pas lieu de comptabiliser la prime d’assurance-maladie complémentaire, qui ne fait pas partie du minimum vital LP. Les pièces produites par l’intimée en première instance (P. 109) permettent de rendre vraisemblable le montant allégué de 100 fr. à titre de frais médicaux non remboursés (all. 46), étant du reste observé que sa franchise annuelle est de 1'000 fr. et sa quote-part annuelle de 700 francs. Pour les frais de repas pris hors du domicile, l’intimée, qui travaille à 80% à raison de quatre jours par semaine, a déclaré devoir manger à midi à l’extérieur lorsqu’elle ne télétravaille pas et faire du télétravail deux jours par semaine en principe. En tenant compte d’un montant de 10 fr. par repas conformément aux Lignes directrices, on retiendra un montant mensuel de 86 fr. 80 ([{10 fr. x 21.7 jours} x 80%] x 50%) à ce titre. Comme exposé ci-dessus, l’intimée ne rend pas vraisemblable que l’utilisation d’une voiture lui serait nécessaire pour acquérir son revenu, de sorte que sa prime d’assurance voiture ne sera pas comptabilisée. Partant, il sera tenu compte pour ses frais de transport du prix d’un abonnement annuel de parcours [...], par 1'640 fr. selon les informations librement disponibles sur le site Internet des CFF, étant précisé qu’un tel abonnement s’avère de toute manière moins onéreux que l’achat de billets individuels aller-retour à raison de deux jours par semaine. On retiendra ainsi un montant de 136 fr. 70 par mois (1'640 fr. : 12 mois) à titre de frais de transport. Il s’ensuit que les charges mensuelles de l’intimée, déterminées en l’état selon le minimum vital LP, sont les suivantes :</w:t>
      </w:r>
    </w:p>
    <w:p>
      <w:r>
        <w:t>- 18 - Base mensuelle minimum vital 1'350 fr. 00 Loyer (part de l’enfant déduite) 1'785 fr. 00 LAMal (prise en charge par l’employeur) 0 fr. 00 Frais médicaux non remboursés 100 fr. 00 Frais de repas 86 fr. 80 Frais de transport 136 fr. 70 Total 3'458 fr. 50 Compte tenu d’un revenu mensuel net de 3'843 fr. 70 (cf. supra let. C ch. 7b), le budget de l’intimée, parent gardien, présente un disponible de 385 fr. 55 (3'843 fr. 70 - 3'458 fr. 15) sur la base d’un minimum vital LP.</w:t>
      </w:r>
    </w:p>
    <w:p>
      <w:r>
        <w:rPr>
          <w:b/>
        </w:rPr>
        <w:t>E. 3.3.3</w:t>
      </w:r>
    </w:p>
    <w:p>
      <w:r>
        <w:t>S’agissant de l’enfant E.________, sa participation au loyer du parent gardien s’élève à 315 fr. (15% de [2'270 fr. - 170 fr.]). Pour ses frais médicaux non remboursés, on ne saurait retenir le montant de 100 fr. allégué par l’intimée en première instance (all. 40) sur la base des documents produits sous pièce 103. En effet, l’intéressée a produit trois décomptes de participation pour des traitements ayant eu lieu entre janvier et mars 2021, démontrant un montant total à charge de l’assuré de 357 fr. 70. Dès lors que ces documents ont été produits le 22 septembre 2021, il se justifie de considérer qu’il s’agit des frais médicaux non remboursés pour les huit premiers mois de l’année 2021, ce qui démontre un coût mensuel de 44 fr. 70. Au degré de la vraisemblance, et dans la mesure où la franchise annuelle s’élève à 200 fr. et la quote-part annuelle à 350 fr., on retiendra un montant de 50 fr. en chiffres ronds pour les frais médicaux non remboursés de l’enfant. Les frais de prise en charge de l’enfant par des tiers sont de 300 fr. par mois (3'600 fr. : 12 mois) et sa prime mensuelle d’assurance- maladie obligatoire est de 45 fr. 05 (cf. supra let. C ch. 7c) ; les allocations familiales qu’elle perçoit s’élèvent à 400 fr. (300 fr. + 100 fr.) au total (cf. supra let. C ch. 7b). Pour les mêmes motifs que ceux indiqués s’agissant</w:t>
      </w:r>
    </w:p>
    <w:p>
      <w:r>
        <w:t>- 19 - de l’intimée, il ne sera pas tenu compte à ce stade de sa prime d’assurance-maladie complémentaire. Il s’ensuit que les coûts directs de l’enfant E.________, déterminés en l’état selon le minimum vital LP, sont les suivants : Base mensuelle minimum vital 400 fr. 00 Part au loyer 315 fr. 00 LAMal (subside déduit) 45 fr. 05 Frais médicaux non remboursés 50 fr. 00 Frais de prise en charge par des tiers 300 fr. 00 ./. allocations familiales - 400 fr. 00 Total 710 fr. 05 Dès lors que le budget de l’intimée, parent gardien, ne présente pas de déficit, il n’y a pas de contribution de prise en charge, de sorte que le montant assurant l’entretien convenable de l’enfant correspond à celui de ses coûts directs. On constate ainsi que la pension minimale de 750 fr. actuellement prévue par la convention du 4 mars 2013 permet de couvrir son entretien convenable déterminé à l’aune du minimum vital LP.</w:t>
      </w:r>
    </w:p>
    <w:p>
      <w:r>
        <w:rPr>
          <w:b/>
        </w:rPr>
        <w:t>E. 3.3.4</w:t>
      </w:r>
    </w:p>
    <w:p>
      <w:r>
        <w:t>Vu les moyens limités à disposition et le faible disponible présenté par l’intimée, il ne se justifie pas d’élargir les besoins à prendre en compte au minimum vital du droit de la famille.</w:t>
      </w:r>
    </w:p>
    <w:p>
      <w:r>
        <w:rPr>
          <w:b/>
        </w:rPr>
        <w:t>E. 4.1</w:t>
      </w:r>
    </w:p>
    <w:p>
      <w:r>
        <w:t>L’appelant fait grief au premier juge de s’être contenté de procéder à un « semblant de pesée d’intérêts » pour rejeter sa requête, de ne pas s’être formellement prononcé sur la modification des circonstances depuis la signature de la convention du 4 mars 2013 et de ne pas avoir procédé aux calculs en vue de déterminer l’existence ou non d’une atteinte grave à son minimum vital en raison du paiement de la pension. Il</w:t>
      </w:r>
    </w:p>
    <w:p>
      <w:r>
        <w:t>- 20 - soutient que sa situation aurait connu une modification notable et durable, qui aurait justifié d’entrer en matière sur sa requête et d’examiner si son minimum vital était atteint. L’appelant fait ensuite valoir qu’au vu de sa situation actuelle, le paiement de la pension prévue par la convention précitée porterait gravement atteinte à son minimum vital et que cette atteinte permettrait de considérer que la condition de l’urgence serait réalisée, contrairement à ce qu’a retenu l’autorité précédente. Le maintien de la pension jusqu’à droit connu sur la procédure au fond ne ferait ainsi qu’accroître ses dettes envers le BRAPA car il ne serait pas en mesure de s’acquitter de celle-ci, ce qui l’enfermerait dans un cercle vicieux l’empêchant d’améliorer sa situation. Il relève encore qu’en émargeant à l’aide sociale, sa situation financière serait précaire et que son état de santé l’empêcherait d’exercer une activité lucrative. L’intimée objecte que la jurisprudence retiendrait de manière constate que la suppression ou la diminution de la contribution due pour l’entretien d’un enfant mineur au stade des mesures provisionnelles serait par définition contraire à l’intérêt de celui-ci et ne serait pas admissible du seul fait que le débirentier subit une atteinte à son minimum vital, car cette atteinte ne serait que provisoire. Elle fait également valoir que le préjudice difficilement réparable invoqué par l’appelant, à savoir l’atteinte à son minimum vital, ne concernerait en réalité que le montant de ses dettes, puisque c’est le BRAPA qui verse les pensions depuis le 1er septembre 2016 pour pallier les manquements de l’intéressé et que la situation ne serait que provisoire, puisque l’appelant a déjà déposé une demande au fond tendant à la suppression de la contribution d’entretien. Elle relève qu’en cas de gain du procès au fond, l’appelant serait en mesure de répéter les sommes indûment versées durant la procédure puisqu’une suppression ou une réduction de la pension à l’issue de la procédure au fond aurait pour effet de réduire sa dette envers le BRAPA, de sorte qu’il n’y aurait pas de préjudice difficilement réparable. L’intimée soutient encore que, n’étant pas en mesure de contribuer seule à l’entretien financier de sa fille, l’intérêt de l’enfant à continuer à percevoir la pension, versée en l’état par le BRAPA, l’emporterait sur celui de l’appelant à limiter le montant de sa dette envers la collectivité publique.</w:t>
      </w:r>
    </w:p>
    <w:p>
      <w:r>
        <w:t>- 21 - De plus, dans la mesure où l’intéressé ne paye plus la pension depuis plus de six ans et où il émarge à l’aide sociale depuis le 1er octobre 2017, il n’y aurait aucune urgence pour justifier des mesures provisionnelles déposées en août 2021 seulement.</w:t>
      </w:r>
    </w:p>
    <w:p>
      <w:r>
        <w:rPr>
          <w:b/>
        </w:rPr>
        <w:t>E. 4.2.1</w:t>
      </w:r>
    </w:p>
    <w:p>
      <w:r>
        <w:t>Selon l’art. 286 al. 2 CC – applicable par renvoi de l’art. 134 al. 2 CC –, si la situation change notablement, le juge modifie ou supprime la contribution d’entretien à la demande du père, de la mère ou de l’enfant. La modification de la contribution d’entretien suppose que des faits nouveaux importants et durables soient survenus dans la situation du débirentier ou du crédirentier (ou dans celle du parent gardien pour la contribution d’entretien de l’enfant), qui commandent une réglementation différente. La procédure de modification n’a pas pour but de corriger le premier jugement mais de l'adapter aux circonstances nouvelles survenues chez les parents ou chez l'enfant (ATF 137 III 604 consid. 4.1.1 ; ATF 131 III 189 consid. 2.7.4 ; TF 5A_677/2016 du 16 février 2017 consid. 2.1.1). Un changement des circonstances peut résulter notamment d’une invalidité ou d’une maladie de longue durée, de la survenance de la retraite ou de la perte d’un emploi (TF 5A_700/2019 du 3 février 2021 consid. 2.1 ; TF 5A_35/2018 du 31 mai 2018 consid. 3.1 ; TF 5A_399/2016 du 6 mars 2017 consid. 4.1.1, non publié à l’ATF 143 III 177). Lorsqu'il admet que les circonstances ayant prévalu lors du prononcé de mesures provisoires ou protectrices se sont modifiées durablement et de manière significative, le juge doit fixer à nouveau la contribution d'entretien, après avoir actualisé tous les éléments pris en compte pour le calcul dans le jugement précédent et litigieux devant lui (ATF 138 III 289 consid. 11.1.1 ; TF 5A_523/2021 du 29 mars 2022 consid.</w:t>
      </w:r>
    </w:p>
    <w:p>
      <w:r>
        <w:rPr>
          <w:b/>
        </w:rPr>
        <w:t>E. 4.2.2</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 risque de préjudice difficilement réparable de l'art. 261 al. 1 let. b CPC est principalement de nature factuelle ; il concerne tout préjudice patrimonial ou immatériel, et peut même résulter du seul écoulement du temps pendant le procès. Il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5A_934/2014 du 5 mars 2015 consid. 2.3, publié in RSPC 2015 p. 341). Le risque de préjudice difficilement réparable suppose l’urgence. De façon générale, il y a urgence chaque fois que le retard apporté à une solution provisoire met en péril les intérêts d’une des parties. Cette notion, qu’on rattache parfois à celle de préjudice</w:t>
      </w:r>
    </w:p>
    <w:p>
      <w:r>
        <w:t>- 23 - difficilement réparable, est un concept juridique indéterminé et relatif, qui doit être apprécié au gré des circonstances du cas d’espèce. L’urgence est une notion relative, qui comporte des degrés et s’apprécie moins selon des critères objectifs qu’au regard des circonstances. Alors même que les mesures provisionnelles sont subordonnées à l'urgence, le droit de les requérir ne se périme pas, mais la temporisation du requérant durant plusieurs mois à dater de la connaissance du dommage ou du risque peut signifier qu’une protection n’est pas nécessaire, voire constituer un abus de droit. Ainsi, la requête de mesures provisionnelles risque d’être rejetée si le tribunal arrive à la conclusion qu’une procédure ordinaire introduite à temps aurait abouti un jugement au fond dans des délais équivalents (Colombini, Code de procédure civile, Condensé de la jurisprudence fédérale et vaudoise, Lausanne 2018, n. 6.1 ad art. 261 CPC et les références citées). Il faut réserver les cas où le requérant a laissé s’écouler du temps pour trouver une solution transactionnelle, ou laisser à l’intimé un ultime sursis, par mansuétude, ce qui ne saurait en soi lui être reproché (CCiv. 12 mars 2012/38). Il n’est pas arbitraire d’admettre que celui qui a toléré une situation prétendument contraire à ses droits durant plusieurs années ne subirait pas de préjudice difficilement réparable au sens de l’art. 261 al. 1 let. b CPC dans l’éventualité où cette même situation se prolongerait durant le procès à entreprendre par le requérant (TF 4A_594/2013 du 21 février 2014 consid. 6). Les art. 261 ss CPC sont applicables aux mesures provisionnelles dans le cadre d’une action en modification de la contribution d’entretien, s’agissant de parents non mariés. Le débiteur d'entretien, demandeur au procès en modification, qui requiert la réduction ou la suppression de la contribution d’entretien à titre provisionnel doit rendre vraisemblable que le maintien de la contribution d’entretien pendant la durée du procès en modification risque de lui causer un préjudice difficilement réparable, lequel doit être mis en balance avec le préjudice que subirait le créancier d’entretien, défendeur au procès en modification, en cas d’octroi des mesures provisionnelles sollicitées. Comme pour toutes les mesures provisionnelles, le juge doit pondérer le droit présumé du requérant à la mesure conservatoire avec</w:t>
      </w:r>
    </w:p>
    <w:p>
      <w:r>
        <w:t>- 24 - les conséquences irréparables que celle-ci peut entraîner pour l’intimé. Une réduction de la contribution d'entretien de l’enfant n’est pas admissible du seul fait que le débirentier subit une atteinte à son minimum vital, car cette éventuelle atteinte ne revêtirait qu’un caractère provisoire. La diminution à titre provisionnel de la contribution d’entretien en faveur d’un enfant mineur, par définition contraire à l’intérêt de celui- ci, n’est admise que restrictivement (Juge unique CACI 22 octobre 2021/507 ; Juge unique CACI 30 mars 2020/123 ; Juge unique CACI 21 décembre 2017/606 ; Juge unique CACI 30 septembre 2016/540). Afin de préserver le bien-être de l’enfant, de telles mesures provisionnelles ne sont admissibles qu’en cas d’urgence particulière et que pour des motifs spécifiques, des exigences particulièrement élevées devant par ailleurs être posées quant à la capacité contributive du débiteur (Juge unique CACI 10 mars 2022/123 ; Juge unique CACI 11 juin 2018/344 ; Juge unique CACI</w:t>
      </w:r>
    </w:p>
    <w:p>
      <w:r>
        <w:rPr>
          <w:b/>
        </w:rPr>
        <w:t>E. 4.2.3</w:t>
      </w:r>
    </w:p>
    <w:p>
      <w:r>
        <w:t>Les mesures provisionnelles relatives à une procédure en modification d'une contribution d'entretien de l'enfant fixée par convention homologuée ou ratifiée d'entente entre les parents non mariés de l'enfant constituent des mesures d'exécution anticipée, de sorte que, si l'action en modification de la contribution d'entretien est admise, les contributions provisionnelles versées constitueront des « à-valoir » sur la créance de l'enfant, alors que, dans le cas inverse, elles devront être remboursées au défendeur (TF 5A_674/2019 du 27 avril 2020 consid. 1.2 ; TF 5A_615/2019 du 23 décembre 2019 consid. 1.2).</w:t>
      </w:r>
    </w:p>
    <w:p>
      <w:r>
        <w:rPr>
          <w:b/>
        </w:rPr>
        <w:t>E. 4.3.1</w:t>
      </w:r>
    </w:p>
    <w:p>
      <w:r>
        <w:t>En l’espèce, dans la mesure où l’appelant a été licencié avec effet au 31 juillet 2015 du poste qu’il occupait lors de la signature de la convention du 4 mars 2013, où il émarge à l’aide sociale depuis le 1er octobre 2017 et où il est en incapacité de travail totale depuis septembre 2019 en raison d’un trouble dépressif récurrent, il se justifie de considérer que l’intéressé a rendu vraisemblable une modification notable et durable des circonstances prévalant lors de la conclusion de cet accord. On précisera ici qu’au vu du contenu du rapport de la Dre [...] du 17 février</w:t>
      </w:r>
    </w:p>
    <w:p>
      <w:r>
        <w:t>- 25 - 2022, il n’apparaît pas, au degré de la vraisemblance, que l’appelant soit apte à exercer une quelconque activité lucrative, de sorte que l’imputation d’un revenu hypothétique n’entre pas en ligne de compte en l’état. Le fait que cette praticienne ne se soit pas prononcée sur un pronostic n’y change rien, dès lors qu’elle a expliqué qu’elle ne pouvait pas le faire car elle n’assurait le suivi de l’intéressé que de manière temporaire depuis octobre 2021. Il est également vraisemblable que, ne réalisant aucun revenu, l’appelant n’est pas en mesure de s’acquitter de la contribution due pour l’entretien de sa fille prévue par la convention précitée, qui s’élève actuellement à 750 fr. au minimum. Dès lors qu’il ne s’acquitte plus de la pension litigieuse depuis le 1er septembre 2016 – hormis un unique versement de 1'800 fr. intervenu le 4 novembre 2016 – et que le BRAPA verse des avances sur pensions depuis cette date, le préjudice difficilement réparable auquel l’appelant serait exposé en cas de maintien de la contribution d’entretien jusqu’à droit connu sur la procédure au fond serait constitué par le fait de voir sa dette envers la collectivité publique augmenter et de se voir notifier de nouvelles poursuites. Cela étant, cela ne signifie pas encore qu’il faille admettre, même au degré de la vraisemblance, un risque de préjudice difficilement réparable. En effet, comme cela a été rappelé ci-dessus (cf. supra consid. 4.2.2), un tel risque suppose l’urgence, notion devant être appréciée au regard des circonstances concrètes du cas d’espèce. Or, on constate que les modifications des circonstances plaidées par l’appelant dans le cadre de sa requête de mesures provisionnelles du 4 août 2021, à savoir la perte de son emploi et son incapacité de travail, sont intervenues en août 2015 et en septembre 2019. Si la perte de son emploi ne pouvait certes pas être invoquée dès le moment où elle s’est produite, au risque que cette modification ne soit alors pas considérée comme durable, on aurait pu attendre de l’appelant, qui ne versait déjà plus la pension depuis le 1er septembre 2016, qu’il l’invoque dès la fin de l’année 2017 lorsque, après avoir bénéficié des prestation de l’assurance-chômage durant deux ans, il a commencé à percevoir le Revenu d’insertion, ce d’autant que, dans ce</w:t>
      </w:r>
    </w:p>
    <w:p>
      <w:r>
        <w:t>- 26 - cadre, il est suivi par un assistant social qui aurait pu lui apporter un soutien dans cette démarche. L’appelant n’a pas davantage requis une modification de la pension après avoir débuté son suivi à la polyclinique psychiatrique de [...] en septembre 2019 en raison d’un trouble dépressif récurrent, alors même qu’il était depuis le début de ce suivi en incapacité de travail totale selon le rapport de la Dre [...]. On relèvera d’ailleurs à cet égard que bien qu’étant en incapacité de travail à plein temps depuis septembre 2019 en raison d’un trouble dépressif récurrent diagnostiqué à la suite d’une hospitalisation en juin 2018, l’appelant n’a entrepris à ce jour aucune démarche concrète auprès de l’assurance-invalidité, alors que dans ce cadre, des prestations pourraient être servies à l’enfant E.________, lesquelles permettraient de couvrir en tout ou partie son entretien convenable. Compte tenu de ces éléments, on constate qu’au lieu de requérir à titre provisionnel une modification de la pension prévue par la convention du 4 mars 2013 – dont il ne s’acquittait du reste plus depuis le 1er septembre 2016 – en fin d’année 2017, lorsqu’il a commencé à bénéficier du Revenu d’insertion, en raison de la perte de son emploi, respectivement en fin d’année 2019 ou en début d’année 2020 après s’être trouvé en incapacité de travail totale, l’appelant, pour une raison qu’il n’explique même pas et qu’aucun élément du dossier ne permet au demeurant d’expliquer, a temporisé le dépôt d’une telle requête pendant plus de trois ans et demi s’agissant de la perte de son emploi, respectivement pendant plus d’une année et demie quant à son incapacité de travail, avant d’invoquer ces éléments dans sa requête de mesures provisionnelles du 4 août 2021 seulement. Si le droit de requérir des mesures provisionnelles ne se périme certes pas, on ne peut qu’inférer d’une telle temporisation à agir de l’appelant depuis la connaissance des modifications des circonstances invoquées, et du dommage en découlant qu’il allègue en lien avec l’atteinte à son minimum vital, qu’une protection provisionnelle n’est pas nécessaire. On ne peut en outre que constater qu’une procédure ordinaire introduite à temps aurait vraisemblablement abouti à un jugement au fond dans des délais équivalents à ceux de la présente procédure provisionnelle.</w:t>
      </w:r>
    </w:p>
    <w:p>
      <w:r>
        <w:t>- 27 - Dans ces conditions, la requête provisionnelle de l’appelant doit être rejetée dès lors que la condition de l’urgence supposée par celle du risque de préjudice difficilement réparable n’est pas réalisée.</w:t>
      </w:r>
    </w:p>
    <w:p>
      <w:r>
        <w:rPr>
          <w:b/>
        </w:rPr>
        <w:t>E. 4.3.2</w:t>
      </w:r>
    </w:p>
    <w:p>
      <w:r>
        <w:t>Par surabondance, le raisonnement du premier juge, selon lequel l’intérêt de l’enfant à pouvoir bénéficier de la contribution d’entretien prévue par la convention du 4 mars 2013 jusqu’à droit connu sur la procédure au fond l’emporte sur celui de l’appelant à ne pas voir ses dettes augmenter, ne prête pas le flanc à la critique et doit être confirmé. En premier lieu, c’est à juste titre que l’autorité précédente a procédé à une telle pesée des intérêts, conformément aux principes rappelés ci-dessus. Ensuite, si l’intimée dispose d’un disponible de 385 fr. 55 après couverture de son propre minimum vital LP (cf. supra consid. 3.3.2), ce disponible est insuffisant pour couvrir l’entretien convenable de l’enfant E.________, qui s’élève à 710 fr. 05 (cf. supra consid. 3.3.3), étant toutefois précisé qu’en vertu du principe de l’équivalence des prestations en argent et en nature (ATF 135 III 66 consid. 4, JdT 2010 I 167, confirmé expressément en tenant compte de la teneur modifiée de l’art. 276 al. 2 CC par TF 5A_727/2018 du 22 août 2019 consid. 4.3.2.1), l’intimée, parent gardien, n’aurait pas en principe à assumer l’obligation d’entretien en argent de sa fille, ce d’autant qu’elle travaille à 80%, ce qui constitue un travail surobligatoire au regard du taux de 50% normalement exigible compte tenu du fait que l’enfant fréquente encore l’école obligatoire (ATF 144 III 481 consid. 4.7.6 à 4.7.9, JdT 2019 II 179 ; TF 5A_931/2017 du 1er novembre 2018 consid. 3.1.2, publié in SJ 2019 I 223). Le versement de la pension de 750 fr. actuellement prévue par la convention du 4 mars 2013 est ainsi indispensable à l’enfant pour couvrir son entretien convenable, déterminé sur la base du minimum vital LP. S’agissant de l’appelant, force est de constater que dans les faits, le maintien de la pension n’entame pas son minimum vital dès lors qu’il ne s’en acquitte pas depuis septembre 2016 et qu’il émarge à l’aide sociale depuis octobre</w:t>
      </w:r>
    </w:p>
    <w:p>
      <w:r>
        <w:t>- 28 - 2017 et a pour effet d’augmenter ses dettes envers la collectivité publique. Dans ces conditions, c’est à juste titre que l’autorité précédente a considéré que l’intérêt de l’enfant à pouvoir bénéficier de la contribution d’entretien prévue par la convention du 4 mars 2013 jusqu’à droit connu sur la procédure au fond l’emportait sur celui de l’appelant à ne pas voir ses dettes augmenter. Il se justifiait dès lors de rejeter la requête de ce point de vue également. 5. 5.1 En définitive, l’appel doit être rejeté et l’ordonnance confirmée. 5.2 Vu l’issue de l’appel, les frais judiciaires, arrêtés à 600 fr. (art. 65 al. 2 TFJC [Tarif des frais judiciaires civils du 28 septembre 2010 ; BLV 270.11.5]), seront mis à la charge de l’appelant (art. 106 al. 1 CPC). Toutefois, dès lors que l’intéressé est au bénéfice de l’assistance judiciaire pour la procédure d’appel, ces frais seront provisoirement laissés à la charge de l’Etat (art. 122 al. 1 let. b CPC). L’appelant devra en outre verser à l’intimée de pleins dépens de deuxième instance, évalués à 1'800 francs. 5.3 5.3.1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respectivement de 110 fr. pour un avocat-stagiaire (art. 2 al. 1 let. a et b RAJ [Règlement du 7 décembre 2010 sur l’assistance judiciaire en matière civile ; BLV 211.02.3]).</w:t>
      </w:r>
    </w:p>
    <w:p>
      <w:r>
        <w:t>- 29 - 5.3.2 5.3.2.1 Le conseil d’office de l’appelant a indiqué dans sa liste des opérations du 20 avril 2022 avoir consacré 12 heures et 16 minutes au dossier, dont 11 heures et 24 minutes effectuées par des avocats- stagiaires, et a revendiqué des débours correspondant à un forfait de 2% de sa rémunération, ainsi que des frais de vacation par 80 francs. Vu la nature du litige et les difficultés de la cause, ce décompte peut être admis. Il s’ensuit qu’au tarif horaire de 180 fr., respectivement de 110 fr. pour les opérations effectuées par les avocats-stagiaires, l’indemnité d’office de Me Ventura sera fixée à 1'410 fr., montant auquel s’ajoutent les débours par 28 fr. 20 (2% de 1'410 fr. ; art. 3bis al. 1 RAJ), un forfait de vacation de 80 fr. pour l’audience d’appel (art. 3bis al. 3 RAJ) et la TVA sur le tout par 116 fr. 90, soit à 1'635 fr. 10 au total, montant arrondi à 1'636 francs. 5.3.2.2 Le conseil d’office de l’intimée a indiqué dans sa liste des opérations du 19 avril 2022 avoir consacré 7 heures et 36 minutes au dossier, dont 7 heures et 12 minutes effectuées par un avocat-stagiaire, et a revendiqué des débours correspondant à un forfait de 2% de sa rémunération, ainsi que des frais de vacation par 80 francs. Vu la nature du litige et les difficultés de la cause, ce décompte peut être admis. Il s’ensuit qu’au tarif horaire de 180 fr., respectivement de 110 fr. pour les opérations effectuées par l’avocat-stagiaire, l’indemnité d’office de Me Parisod sera arrêtée à 864 fr., montant auquel s’ajoutent les débours par 17 fr. 30 (2% de 864 fr. ; art. 3bis al. 1 RAJ), un forfait de vacation de 80 fr. pour l’audience d’appel (art. 3bis al. 3 RAJ) et la TVA sur le tout par 74 fr., soit à 1'035 fr. 30 au total, montant arrondi à 1'036 francs.</w:t>
      </w:r>
    </w:p>
    <w:p>
      <w:r>
        <w:t>- 30 - 5.4 Les parties, bénéficiaires de l’assistance judiciaire, sont tenues au remboursement des frais judiciaires et de l’indemnité de leurs conseils d’office provisoirement laissés à la charge de l’Etat, dès qu’elles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rejeté. II. L’ordonnance est confirmée. III. Les frais judiciaires de deuxième instance de l’appelant J.________, arrêtés à 600 fr. (six cents francs), sont provisoirement laissés à la charge de l’Etat. IV. L’appelant J.________ doit verser à l’intimée X.________ la somme de 1'800 fr. (mille huit cents francs) à titre de dépens de deuxième instance. V. L’indemnité d’office de Me Pierre Ventura, conseil de l’appelant J.________, est arrêtée à 1'636 fr. (mille six cent trente-six francs), débours et TVA compris. VI. L’indemnité d’office de Me David Parisod, conseil de l’intimée X.________, est arrêtée à 1'036 fr. (mille trente-six francs), débours et TVA compris.</w:t>
      </w:r>
    </w:p>
    <w:p>
      <w:r>
        <w:t>- 31 - VII. Les parties, bénéficiaires de l’assistance judiciaire, sont tenues au remboursement des frais judiciaires et de l’indemnité à leurs conseils d’office provisoirement laissés à la charge de l’Etat, dès qu’elles seront en mesure de le faire. VIII. L’arrêt est exécutoire. La juge unique : Le greffier : Du Le présent arrêt, dont la rédaction a été approuvée à huis clos, est notifié en expédition complète à : - Me Pierre Ventura (pour J.________), - Me David Parisod (pour X.________), et communiqué, par l’envoi de photocopies, à : - Bureau de recouvrement et d’avances de pensions alimentaires, - M. le Président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- 32 - contestation ne soulève une question juridique de principe (art. 74 LTF). Ces recours doivent être déposés devant le Tribunal fédéral dans les trente jours qui suivent la présente notification (art. 100 al. 1 LTF). Le greffier :</w:t>
      </w:r>
    </w:p>
    <w:p>
      <w:r>
        <w:rPr>
          <w:b/>
        </w:rPr>
        <w:t>E. 6</w:t>
      </w:r>
    </w:p>
    <w:p>
      <w:r>
        <w:t>avril 2018/205).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