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JI20.024430 vom 28. November 2023</w:t>
      </w:r>
    </w:p>
    <w:p>
      <w:r>
        <w:t>VD Tribunal cantonal, 2023-11-28, FR</w:t>
      </w:r>
    </w:p>
    <w:p>
      <w:r>
        <w:rPr>
          <w:b/>
        </w:rPr>
        <w:t xml:space="preserve">Quelle: </w:t>
      </w:r>
      <w:r>
        <w:t>https://mcp.opencaselaw.ch/entscheid/vd_gerichte_JI20.024430</w:t>
      </w:r>
    </w:p>
    <w:p>
      <w:r>
        <w:t>FR: VD_GERICHTE JI20.024430 du 28 novembre 2023</w:t>
      </w:r>
    </w:p>
    <w:p>
      <w:r>
        <w:t>IT: VD_GERICHTE JI20.024430 del 28 novembre 2023</w:t>
      </w:r>
    </w:p>
    <w:p>
      <w:pPr>
        <w:pStyle w:val="Heading2"/>
      </w:pPr>
      <w:r>
        <w:t>Erwägungen</w:t>
      </w:r>
    </w:p>
    <w:p>
      <w:r>
        <w:rPr>
          <w:b/>
        </w:rPr>
        <w:t>E. 19</w:t>
      </w:r>
    </w:p>
    <w:p>
      <w:r>
        <w:t>décembre 2008 ; RS 220]).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w:t>
      </w:r>
    </w:p>
    <w:p>
      <w:r>
        <w:t>- 25 - à savoir l’absence de ressources suffisantes et les chances de succès de la procédure. Ces conditions coïncident avec celles découlant du droit à l’assistance judiciaire, tel que garanti par l’art. 29 al. 3 Cst. (Constitution fédérale du 18 avril 1999 ; RS 101). 5.1.2 Une personne est indigente lorsqu'elle n'est pas en mesure d'assumer les frais de la procédure sans porter atteinte au minimum nécessaire à son entretien et à celui de sa famille (ATF 144 III 531 consid. 4.1 ; 141 III 369 consid. 4.1 ; TF 5A_972/2021 du 2 février 2023 consid. 2.1.1).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ainsi que de sa fortune, mobilière et immobilière, pour autant qu'elle soit disponible (ATF 124 I 1 consid. 1 et consid. 2a, JdT 1999 I 60, RDAF 1999 I 549 ; TF 5A_972/2021 du 2 février 2023 consid. 2.1.1) et, d'autre part, l'ensemble de ses engagements financiers, seules les charges réellement acquittées étant susceptibles d'entrer dans le calcul du minimum vital (ATF 135 I 221 consid. 5.1 ; TF 4A_461/2022 du 15 décembre 2022 consid. 4.1.2 ; TF 5A_972/2021 du 2 février 2023 consid. 2.1.1). La jurisprudence a toutefois admis que la fortune mobilière pouvait présenter le caractère d'une « réserve de secours » destinée à couvrir les besoins futurs du requérant, dont le montant doit être apprécié selon les circonstances de l'espèce, tels que les perspectives de gain, l'âge, l'état de santé et les obligations familiales de l'intéressé (cf. ATF 144 III 531 consid. 4.1 ; TF 5A_972/2021 du 2 février 2023 consid. 2.1.1 ; 1B_595/2021 du 28 juillet 2022 consid. 2 ; 4A_250/2019 du 7 octobre 2019 consid. 2.1.2, RSPC 2020, p. 126 ; 5A_886/2017 du 20 mars 2018 consid. 5.2 et la jurisprudence citée). Dans tous les cas, un certain rapport doit être trouvé entre la fortune considérée et les frais prévisibles de la procédure (TF 4P.273/2011 du 5 février 2002 consid. 2b in fine).</w:t>
      </w:r>
    </w:p>
    <w:p>
      <w:r>
        <w:t>- 26 -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Un canton peut donc avoir une pratique plus restrictive quant à la réserve de secours (TF 5A_2/2020 du 15 janvier 2020 consid. 4). 5.1.3 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 5.1.4 Le seul fait que le requérant à l’assistance judiciaire en procédure de deuxième instance ait obtenu l'assistance judiciaire en première instance ou dans d'autres procédures n'est pas décisif (ATF 122 III 392 c. 3a) et n'est pas de nature à faire naître des attentes légitimes chez l'intéressé quant au fait qu'il pourra nécessairement bénéficier de l'assistance judiciaire lors de la procédure de recours (TF 4A_48/2021 du</w:t>
      </w:r>
    </w:p>
    <w:p>
      <w:r>
        <w:rPr>
          <w:b/>
        </w:rPr>
        <w:t>E. 21</w:t>
      </w:r>
    </w:p>
    <w:p>
      <w:r>
        <w:t>juin 2021 consid. 7.2). En effet, la juridiction de recours n'est pas liée dans l'évaluation de l'indigence par la décision de première instance ou par une décision rendue dans d'autres procédures (ATF 149 III 67 consid. 11.4.2 ; TF 5A_287/2023 du 5 juillet 2023 consid. 6).</w:t>
      </w:r>
    </w:p>
    <w:p>
      <w:r>
        <w:t>- 27 - 5.2 En l’occurrence, il ressort des pièces produites par l’appelant dans le cadre de sa requête d’assistance judiciaire qu’il perçoit un revenu mensuel net de 5'361 fr., assume des charges de l’ordre de 4'370 fr., contribution d’entretien de 1'700 fr. et allocations familiales comprises. Selon sa déclaration d’impôt 2022, il disposait d’une fortune imposable de quelque 158'000 fr., soit 5'185 fr. à titre d’économies et 152'950 fr. composés de titres et autres rendements. L’appelant n’explique pas dans sa requête les raisons pour lesquelles certains de ses titres ne pourraient pas être réalisés pour obtenir les liquidités nécessaires à financer la procédure d’appel. Compte tenu de cette fortune mobilière, dont le montant est supérieur à ce qui est toléré pour une « réserve de secours », et la juge de céans n’étant pas liée par la décision prise en première instance, le bénéfice de l’assistance judiciaire pour la procédure d’appel doit être refusé à l’appelant. Par conséquent, sa requête tendant à l’octroi de l’assistance judiciaire sera rejetée. 5.3 5.3.1 L’intimée étant au bénéfice de l’assistance judiciaire par décision du 20 septembre 2023, son conseil d’office, Me Irina Brodard- Lopez,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5.3.2 Me Irina Brodard-Lopez a indiqué dans sa liste des opérations avoir consacré 6 heures et 12 minutes au dossier. Vu la nature du litige et les difficultés de la cause, ce décompte peut être admis. Il s’ensuit que l’indemnité d’office de Me Brodard-Lopez sera arrêtée à 1'116 fr., montant auquel il convient d’ajouter des débours par 22 fr. 32 (2 % ; art. 3bis al. 1 RAJ) ainsi que la TVA à 7,7 % sur le tout (1'138 fr. 32), soit 87 fr. 65, ce qui aboutit à un montant total de 1'225 fr. 97, arrondi à 1'226 francs.</w:t>
      </w:r>
    </w:p>
    <w:p>
      <w:r>
        <w:t>- 28 - 5.4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querellée est réformée au chiffre I de son dispositif en ce sens que la requête du 16 mai 2023 de W.________ tendant à la nomination de M.________ en qualité de curatrice de surveillance des relations personnelles au sens de l’art. 308 al. 2 CC est admise, M.________ étant désignée en qualité de curatrice de surveillance des relations personnelles au sens de l’art. 308 al. 2 CC en faveur de l’enfant Q.________, née le [...] 2011, pour une durée limitée d’une année à compter du 1er décembre 2023, avec pour mission de travailler la reprise du lien entre le père et Q.________ et du droit de visite entre le père et l’enfant de manière médiatisée, par le biais de 17 à 24 séances d’entretiens individuels et/ou de visites médiatisées selon une fréquence qu’elle estimera la plus appropriée et dont le coût total sera de 2'400 fr. au maximum, les frais de cette mesure étant à la charge des deux parents, la répartition entre eux étant réservée,</w:t>
      </w:r>
    </w:p>
    <w:p>
      <w:r>
        <w:t>- 29 - respectivement à la charge de l’Etat si les deux parents devaient être considérés comme indigents. IIbis. La Direction générale de l’enfance et de la jeunesse, par l’assistante sociale Z.________, est formellement relevée de son mandat de curatelle de surveillance des relations personnelles en application de l’art. 308 al. 2 CC. L’ordonnance est confirmée pour le surplus. III. La requête d’assistance judiciaire de W.________ pour la procédure d’appel est rejetée. IV. Les frais judiciaires de deuxième instance, arrêtés à 600 fr. (six cents francs), seront mis à la charge de l’intimée H.________, mais laissés provisoirement à la charge de l’Etat. V. L’intimée H.________ versera à W.________ la somme de 2'625 fr. (deux mille six cent vingt-cinq francs) à titre de dépens de deuxième instance. VI. L’indemnité de Me Irina Brodard-Lopez, conseil d’office de l’intimée H.________, est arrêtée à 1'226 fr. (mille deux cent vingt-six francs), débours et TVA compris. VII. La bénéficiaire de l’assistance judiciaire est tenue au remboursement des frais judiciaires et de l’indemnité versée à son conseil d’office, laissés provisoirement à la charge de l’Etat, dès qu’elle sera en mesure de le faire.</w:t>
      </w:r>
    </w:p>
    <w:p>
      <w:r>
        <w:t>- 30 - VIII. L’arrêt est exécutoire. La juge unique : La greffière : Du Le présent arrêt, dont la rédaction a été approuvée à huis clos, est notifié en expédition complète à : - Me Amélie Giroud, av. (pour W.________), - Me Irina Brodard-Lopez, av. (pour H.________, - Me Stéphanie Cacciatore, av. (pour l’enfant Q.________), et communiqué, par l'envoi de photocopies, à : - Mme la Présidente du Tribunal d’arrondissement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