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JI19.048629 vom 16. November 2021</w:t>
      </w:r>
    </w:p>
    <w:p>
      <w:r>
        <w:t>VD Tribunal cantonal, 2021-11-16, FR</w:t>
      </w:r>
    </w:p>
    <w:p>
      <w:r>
        <w:rPr>
          <w:b/>
        </w:rPr>
        <w:t xml:space="preserve">Quelle: </w:t>
      </w:r>
      <w:r>
        <w:t>https://mcp.opencaselaw.ch/entscheid/vd_gerichte_JI19.048629</w:t>
      </w:r>
    </w:p>
    <w:p>
      <w:r>
        <w:t>FR: VD_GERICHTE JI19.048629 du 16 novembre 2021</w:t>
      </w:r>
    </w:p>
    <w:p>
      <w:r>
        <w:t>IT: VD_GERICHTE JI19.048629 del 16 novembre 2021</w:t>
      </w:r>
    </w:p>
    <w:p>
      <w:pPr>
        <w:pStyle w:val="Heading2"/>
      </w:pPr>
      <w:r>
        <w:t>Volltext</w:t>
      </w:r>
    </w:p>
    <w:p>
      <w:r>
        <w:t>TRIBUNAL CANTONAL JI19.048629-210644 539 CO UR D’APPEL CIVI L E _____________________________ Arrêt du 16 novembre 2021 ________________________ Composition : Mme GIROUD WALTHER, présidente MM. Hack et de Montvallon, juges Greffière : Mme Bourqui ***** Art. 197 CO ; 8 CC et 157 CPC Statuant sur l’appel interjeté par U.________SA, à [...], demanderesse, contre le jugement rendu le 23 octobre 2020 par le Président du Tribunal civil de l’arrondissement de la Broye et du Nord vaudois dans la cause divisant l’appelante d’avec C.________GMBH, à [...], défenderesse, la Cour d’appel civile du Tribunal cantonal considère : 1102</w:t>
      </w:r>
    </w:p>
    <w:p>
      <w:r>
        <w:t>- 2 - En fait : A. Par jugement du 23 octobre 2020, dont les considérants écrits ont été envoyés aux parties pour notification le 9 mars 2021, le Président du Tribunal civil de l’arrondissement de la Broye et du Nord vaudois (ci- après : le président ou le premier juge) a rejeté la demande formée le 31 octobre 2019 par U.________SA contre C.________GmbH (I), a arrêté les frais judiciaires à 2'560 fr., y compris les frais de la procédure de conciliation, et les a mis à la charge d’U.________SA (II), a dit qu’U.________SA était la débitrice de C.________GmbH et lui devait immédiat paiement de la somme de 1'750 fr. à titre de dépens (III) et a rejeté toutes autres ou plus amples conclusions (IV). En droit, le premier juge a retenu qu’en date du 13 septembre 2018, B.V.________, pour U.________SA, avait indiqué à D.________, employé de C.________GmbH, qu’il souhaitait repeindre une machine de chantier et acheter le matériel nécessaire pour ce faire. Dans un premier temps, U.________SA avait reçu un diluant qui n’était pas compatible avec la peinture et le vernis livrés avant de recevoir ensuite le bon produit. U.________SA ayant rencontré des problèmes lors de l’application de la peinture, le mélange faisant fondre les couches de peinture recouvertes, le premier juge a retenu que la peinture et le vernis en question étaient des produits « deux composants » nécessitant l’ajout d’un durcisseur avant leur application et que ce dernier produit n’avait pas été intégré au mélange. Il a précisé que le défaut invoqué ne consistait pas en l’utilisation d’un diluant inadéquat mais en l’absence de durcisseur dans la peinture vendue. Le magistrat a considéré qu’U.________SA n’était pas parvenue à démontrer ses allégations selon lesquelles D.________ aurait promis à B.V.________ qu’un durcisseur était déjà intégré dans la peinture, de sorte qu’il était inutile d’ajouter un produit supplémentaire au mélange. U.________SA n’avait pas non plus démontré qu’elle était en droit d’attendre que la peinture commandée contienne déjà un durcisseur alors que C.________GmbH ne le lui aurait pas promis. A cet égard, U.________SA avait admis que l’utilisation d’un vernis acrylique 2K (deux composants)</w:t>
      </w:r>
    </w:p>
    <w:p>
      <w:r>
        <w:t>- 3 - nécessitait l’ajout d’un durcisseur et n’a pas contesté qu’il s’agissait d’une notion élémentaire dans le domaine de la peinture. Au demeurant, rien n’indiquait qu’il appartenait à C.________GmbH d’inviter spontanément U.________SA à commander un durcisseur en même temps que la peinture et le vernis, ce qui était d’autant plus vrai que cette dernière avait confirmé qu’elle avait trente ans d’expérience dans le domaine de la peinture. Au vu de cela, le premier juge a finalement considéré que la peinture vendue à U.________SA n’était affectée d’aucun défaut. B. Par acte du 22 avril 2021, U.________SA (ci-après : l’appelante) a interjeté un appel contre ce jugement en concluant, avec suite de frais et dépens, principalement à sa réforme en ce sens que C.________GmbH (ci-après : l’intimée) soit condamnée à lui verser la somme de 15'776 fr. 40 avec intérêts à 5 % l’an dès le 6 février 2019. Subsidiairement, elle a conclu à l’annulation du jugement et au renvoi de la cause à l’autorité de première instance pour nouvelle décision dans le sens des considérants. L’intimée n’a pas été invitée à se déterminer. C. La Cour d'appel civile retient les faits pertinents suivants, sur la base du jugement complété par les pièces du dossier : 1. a) U.________SA est une société anonyme dont le siège se situe à [...] et qui a pour but l'exploitation d'une entreprise de parcs et jardins, abattage et élagage d'arbres, tous travaux de sylviculture, vente de bois et de copeaux de bois, tous travaux de terrassements ainsi que la conception, l'élaboration et la vente d'énergies renouvelables. Elle est inscrite au Registre du commerce du canton de [...] depuis le [...] 1994. A.V.________ et B.V.________ en sont les administrateurs, avec signature individuelle. b) C.________GmbH est une société à responsabilité limitée dont le siège se situe à [...] et qui a pour but « Handel mit Fahrzeugteilen ;</w:t>
      </w:r>
    </w:p>
    <w:p>
      <w:r>
        <w:t>- 4 - darf sich an gleichen oder ähnlichen Unternehmen beteiligen sowie Liegenschaften und Wertschriften erwerben, verwalten und verkaufen ». La société est inscrite au Registre du commerce du canton de [...] depuis le [...] 2000. Elle est la branche suisse du groupe [...], basé à [...], en Allemagne, et dispose d'une succursale à [...], qui est inscrite au Registre du commerce du canton de Vaud depuis le [...] 2016. 2. a) En date du 13 septembre 2018, B.V.________ a appelé D.________, personne de contact de l’appelante auprès de la succursale d'[...] de l’intimée, afin de commander notamment dix litres de peinture « deux composants », le diluant adéquat et une laque de protection anti- rayure. Au moment de passer commande, B.V.________ a indiqué à D.________ la couleur et le RAL (ndrl : système de codification des couleurs) de la peinture souhaitée, soit la teinte de vert RAL 6024, en précisant que son objectif était de repeindre une machine de chantier aux couleurs de l’appelante. Il n'a toutefois indiqué aucun numéro de référence, les références des produits ayant été choisies par D.________ en fonction de la peinture commandée. b) Le 14 septembre 2018, l’appelante a reçu à son siège deux bidons de cinq litres d’« [i]nstallation mélange peinture acrylique » (réf. 482 000 205 00), deux bidons de cinq litres de diluant KH (réf. 490 000 163 00) et un bidon de cinq litres de vernis transparent 2K HS CS 85 (réf. 490 001 044 00). Les factures et bordereaux de livraison accompagnant ces produits, datés du 13 septembre 2018, indiquaient que les conditions générales de vente de l’intimée, disponibles sur le site internet de celle-ci, étaient applicables à la transaction. L'art. 6 ch. 1 des conditions générales mentionne ce qui suit : « Nous apportons la garantie de l'absence de défauts de la marchandise commandée conformément à la technicité respective. En l'absence d'instructions de montage, seul un spécialiste formé est autorisé à effectuer le montage de notre marchandise. ». La peinture et le vernis livrés par l’intimée à l’appelante consistaient en des produits « deux composants », soit des produits dont l'utilisation nécessite l'ajout d'un durcisseur avant leur application.</w:t>
      </w:r>
    </w:p>
    <w:p>
      <w:r>
        <w:t>- 5 - c) En date du 17 septembre 2018, B.V.________ a appliqué une première couche de peinture sur la machine de chantier en utilisant le mélange de peinture et le diluant livrés par l’intimée. Au terme de cette opération, il s'est aperçu que la peinture n'était pas parfaitement diluée. Après avoir dilué la peinture reçue avec le diluant qu'il utilisait ordinairement et appliqué le mélange sur une petite surface, B.V.________ a constaté que, dans ce cas, la peinture était parfaitement diluée. Il a également constaté que le diluant livré n'était pas non plus compatible avec la laque reçue, dont l'étiquette indiquait qu'il était nécessaire d'utiliser un diluant 2K V25. B.V.________ a alors appelé D.________, qui lui a confirmé s'être trompé de diluant avant de s'engager à lui faire parvenir le diluant adéquat. d) Le 19 septembre 2018, l’appelante a reçu de l’intimée un litre de diluant 2K V25 (réf. 490 00 261 00). B.V.________ a alors mélangé la laque avec le diluant précité et appliqué le mélange sur de petites pièces à titre d'essai. Ayant constaté que ledit mélange faisait fondre les couches de peinture, il a contacté D.________ pour lui exposer la situation et lui a écrit un message WhatsApp dont la teneur est la suivante : « Bonjour J'ai un problème avec la peinture et la lack Lundi une couche de peinture diluée avec kh verdunnung Je me suis aperçu que ça se sépare dans le pot et donc ça projette de gros gouttes (sic) Mardi deuxième couche de peinture diluée avec universelle de moterex Application parfaite Aujourd'hui une couche de lack diluée avec 2k verdunnung Ca dilue le vert Heureusement j'ai testé sur des pièces détachées Voir photos Que dois-je faire ? » A la suite de cet envoi, D.________ a appelé un représentant de la marque de peinture [...] pour obtenir des conseils quant à la situation. Il a ensuite rappelé B.V.________ pour lui demander s'il avait ajouté un durcisseur dans la peinture, ce à quoi ce dernier a répondu par la négative. D.________ lui a alors indiqué qu'il n'y avait pas d'autres solutions que d'enlever les couches de peinture qu'il avait appliquées sur la machine de chantier.</w:t>
      </w:r>
    </w:p>
    <w:p>
      <w:r>
        <w:t>- 6 - e) Par courriel du 20 septembre 2018, l’appelante a informé D.________ qu’elle avait fait transporter la machine de chantier en question dans l’atelier de la L.________SA et qu’il pouvait transmettre le nom de l’atelier à l’assurance responsabilité civile de l’intimée dans le cas où l’expert souhaitait constater les dégâts. f) Par courriel du 24 septembre 2018, l’appelante, par l’intermédiaire de A.V.________ a écrit à D.________ que, dans le but de minimiser la perte d’exploitation, elle avait transporté l’engin de chantier dans un atelier spécialisé, celle-ci n’ayant pas les moyens techniques et personnels pour réaliser elle-même le décapage de la peinture. Le même jour, D.________ a répondu ainsi à A.V.________ : « Bonjour Madame, Je suis content d'apprendre que cette machine va faire peau neuve ! Pour vous et pour nous. Mon chef est au courant de l'histoire, puis je lui ai (sic) fait part de votre demande de sinistre. Malheureusement il n'est pas là cette semaine, je regarderai avec lui début de semaine prochaine. Le bon de retour vous a été envoyé par mail. [...] Meilleures salutations ». Toujours en date du 24 septembre 2018, l’appelante a écrit un courriel à D.________, dont la teneur est la suivante : « Bonjour, C'est à vous de voir car l'expert de votre RC devrait constater les dégâts avant la fin du travail ! J'espère que la machine sera terminée en début de semaine prochaine. Il y a encore le retour a (sic) organiser (convoi exceptionnel) et j'ai des pénalités journalières de retard. Donc je fais au plus vite. [...] Meilleures messages (sic) ». g) En date du 22 octobre 2018, la L.________SA a facturé à l’appelante les travaux de réparation effectués sur la machine de chantier (décapage et peinture) entre le 21 septembre et le 4 octobre 2018, à hauteur de 13'880 fr. 90.</w:t>
      </w:r>
    </w:p>
    <w:p>
      <w:r>
        <w:t>- 7 - Par courriel du 23 octobre 2018, l’appelante a transmis à D.________ la facture établie par la L.________SA d’un montant de 13'880 fr. 90 ainsi qu'une facture établie le 22 octobre 2018 par l’appelante elle- même pour un montant de 1'895 fr. 50. Cette dernière facture avait pour objet les transports aller et retour de la machine de chantier entre le siège de l’appelante et la L.________SA, effectués respectivement les 20 septembre et 5 octobre 2018. Le 24 octobre 2018, D.________ a répondu à l’appelante en lui indiquant que son supérieur, Q.________, prendrait contact avec elle en début de semaine suivante. h) Par courriel du 1er novembre 2018, A.V.________ a transmis une seconde fois à D.________ les factures susmentionnées. i) En date du 8 novembre 2018, l’intimée, par l'intermédiaire de Q.________, a écrit à l’appelante, à l'attention de A.V.________, un courrier dont la teneur est la suivante : « Madame A.V.________, Nous regrettons que vous ayez rencontré des problèmes lors de l'utilisation de la peinture 2K que nous avons livré, ainsi que les dommages et les désagréments causés. Pour la personne qui a commandé la marchandise, c'était clair qu'il s'agissait d'une peinture 2K (2 composants). Ce type de peinture est très utilisé par notre clientèle pour effectuer des travaux de peinture professionnels. Nous partons du principe qu'un client qui effectue ce genre de travaux est formé sur ce genre de produits spécifiques. Pour la peinture 2 composants, un durcisseur doit toujours être mélangé avec la peinture avant application. Lors des discussions avec notre vendeur, vous lui avez affirmé que lors du mélange de la peinture avec notre diluant, le mélange ne se faisait pas correctement. A ce moment-là, vous auriez eu la possibilité de ne pas appliquer la peinture sur la machine et/ou de faire un test sur tôle test. J'étais prêt à faire une proposition de geste commercial lors de notre entretien téléphonique, malheureusement vous n'avez pas souhaité rentrer en matière.</w:t>
      </w:r>
    </w:p>
    <w:p>
      <w:r>
        <w:t>- 8 - Pour ces raisons, nous refusons votre réclamation et nous ne ferons pas de démarches auprès de notre assurance. Je vous prie de recevoir, Madame, mes meilleures salutations. ». j) Par courrier du 17 janvier 2019, l’appelante, par l'intermédiaire de son conseil, a mis en demeure l’intimée de lui verser, d'ici au 6 février 2019, un montant de 20'022 fr. 20 avec intérêts à 5 % dès le 17 janvier 2019 correspondant, aux termes dudit courrier, au coût de l'enlèvement de la peinture apposée par B.V.________ sur la machine de chantier. Cette prétention a été réfutée par l’intimée par correspondance du 28 février 2019. 3. Par demande du 31 octobre 2019, l’appelante a conclu, avec suite de frais et dépens, à ce que l’intimée soit condamnée à lui verser la somme de 15'776 fr. 40 avec intérêts à 5 % l’an dès le 6 février 2019. Par réponse du 3 février 2020, l’intimée a principalement conclu, avec dépens, au rejet des conclusions prises par l’appelante dans sa demande du 31 octobre 2019, subsidiairement à ce qu'elle soit acheminée à prouver, par toutes voies de droit utiles, les faits allégués dans son mémoire de réponse. Par écriture du 27 février 2020, l’appelante s'est déterminée sur les allégués de la réponse. L'audience de plaidoiries finales s'est tenue le 20 octobre 2020 en présence, pour l’appelante, de A.V.________, et pour l’intimée, de Q.________, assistés de leur conseil respectif. Le témoin D.________ a été entendu, à la requête de l’appelante. Les représentants de l’appelante et de l’intimée ont également été interrogés en qualité de partie. Pour le surplus, A.V.________ a déclaré en audience que l’appelante avait de l'expérience dans le domaine de la peinture, en particulier que cela faisait trente ans que la société achetait des machines d'occasions qui étaient ensuite réparées et repeintes aux couleurs de l'entreprise.</w:t>
      </w:r>
    </w:p>
    <w:p>
      <w:r>
        <w:t>- 9 - En d roit : 1. 1.1 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1.2 Formé en temps utile par une partie qui a un intérêt digne de protection (art. 59 al. 2 let. a CPC) contre une décision finale rendue dans une cause patrimoniale dont la valeur litigieuse était supérieure à 10'000 fr. en première instance,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2e éd. 2019, nn. 2 ss ad art. 310 CPC). Elle peut revoir librement l'appréciation des faits sur la base des preuves administrées en première instance (Jeandin, CR-CPC, n. 6 ad art. 310 CPC) et peut administrer des preuves (art. 316 al. 3 CPC).</w:t>
      </w:r>
    </w:p>
    <w:p>
      <w:r>
        <w:t>- 10 - 3. 3.1 Dans une première partie intitulée « En fait », l’appelante propose une succession de septante-trois allégués avec offres de preuve, essentiellement en référence au jugement querellé, aux pièces ou « par appréciation ». 3.2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Par voie de conséquence,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8 juin 2020/223 consid. 2.2 ; CACI 16 décembre 2019/665</w:t>
      </w:r>
    </w:p>
    <w:p>
      <w:r>
        <w:t>- 11 - consid. 4.2 ; CACI 21 novembre 2018/651 consid. 3.3 ; CACI 29 juin 2017/273 consid. 3.2 ; Colombini, Code de procédure civile, Condensé de la jurisprudence fédérale et vaudoise, Lausanne 2018, n. 8.2.2 ad art. 311 CPC). 3.3 En l'espèce, l'exposé des faits figurant au chiffre III de l'acte d'appel ne répond pas aux exigences légales et jurisprudentielles en matière de motivation rappelées ci-dessus puisque l’appelante se borne à présenter sa version des faits, sans reprendre, comme l’exige la jurisprudence, la démarche du premier juge et sans se livrer à une critique substanciée de son raisonnement. Il n'y a donc pas lieu de prendre en compte cet état de fait pour le cas où la version des faits présentée par l'appelante s'écarterait de celle qui a été retenue par le premier juge. 4. 4.1 L’appelante invoque une violation des art. 197 CO et 157 CPC. Elle fait notamment valoir que le premier juge aurait apprécié les faits de façon erronée en se fondant exclusivement sur le témoignage de D.________, employé de l’intimée. Selon elle, le témoignage en question n’aurait qu’une faible force probante et serait contradictoire, le témoin ne disposant au surplus pas des connaissances adéquates. 4.2 4.2.1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w:t>
      </w:r>
    </w:p>
    <w:p>
      <w:r>
        <w:t>- 12 -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Le défaut peut également être de nature juridique si la chose vendue ne correspond pas aux exigences juridiques ou ne permet pas à l'acheteur pour ce motif d'en tirer toutes les utilités (Tercier/Bieri/Carron, op. cit., p. 97, nn. 676 et 678 et les références citées ; Venturi/Zen-Ruffinen, op. cit., nn. 5-6 ad art. 197 CO).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w:t>
      </w:r>
    </w:p>
    <w:p>
      <w:r>
        <w:t>- 13 -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 conclu le contrat ou l'aurait conclu à des conditions différentes s'il avait connu le défaut (TF 4A_619/2013 du 20 mai 2014 consid. 4.1 et les références citées). 4.2.2 Le tribunal établit sa conviction par une libre appréciation des preuves administrées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4A_394/2009 du 4 décembre 2009 consid. 2.4 non publié in ATF 136 III 142, RSPC 2010 p. 147). De simples allégations de partie – fussent-elles même plausibles – ne suffisent pas à prouver un fait, faute d'être corroborées par</w:t>
      </w:r>
    </w:p>
    <w:p>
      <w:r>
        <w:t>- 14 - des pièces qui accréditent la thèse soutenue (TF 5A_95/2013 du 18 avril 2013 consid. 4.2 ; TF 5A_12/2013 du 8 mars 2013 consid. 5.2). 4.2.3 Selon l'art. 8 CC,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(ATF 131 III 222 consid. 4.3 ; ATF 130 III 321 consid. 3.1 ; ATF 129 III 18 consid. 2.6 ; ATF 127 III 519 consid. 2a). L'art. 8 CC ne prescrit toutefois pas quelles sont les mesures probatoires à ordonner (ATF 127 III 519 consid. 2a) ni ne dicte au juge comment il doit forger sa conviction (ATF 128 III 22 consid. 2d ; ATF 127 III 248 consid. 3a ; TF 5A_701/2019 du 23 octobre 2019 consid. 6.3 ; TF 5A_197/2016 du 14 décembre 2016 consid. 3.3.1). Ainsi, lorsque l'appréciation des preuves convainc le juge qu'un fait est établi à satisfaction de droit ou réfuté, la question de la répartition du fardeau de la preuve ne se pose plus et le grief tiré de la violation de l'art. 8 CC devient sans objet (ATF 128 III 271 consid. 2b/aa in fine ; ATF 119 III 103 consid. 1). L'art. 8 CC ne saurait être invoqué pour faire corriger l'appréciation des preuves, qui ressortit au juge du fait (cf. ATF 130 III 321 consid. 5 ; ATF 127 III 248 consid. 3a). 4.3 Le premier juge a considéré que l’appelante n’était pas parvenue à démontrer que D.________ avait promis à B.V.________ qu’un durcisseur avait été intégré à la peinture vendue par l’intimée, alors que le fardeau de la preuve lui incombait au regard de l’art. 8 CC. En outre, l’appelante n’avait pas démontré qu’elle aurait été en droit d’attendre que la peinture commandée contienne déjà un durcisseur alors même que l’intimée ne le lui aurait pas promis. L’appelante avait à cet égard admis que l’utilisation d’un vernis acrylique 2K (deux composants) nécessitait l’ajout d’un durcisseur et n’a pas contesté qu’il s’agissait d’une notion élémentaire dans le domaine de la peinture industrielle. Il a au surplus considéré que rien n’indiquait qu’il appartenait à l’intimée d’inviter spontanément l’appelante à commander un durcisseur en même temps que la peinture et le vernis, ce qui était d’autant plus vrai que l’appelante</w:t>
      </w:r>
    </w:p>
    <w:p>
      <w:r>
        <w:t>- 15 - avait confirmé en audience avoir trente ans d’expérience dans le domaine de la peinture. 4.4 L’appelante critique le jugement entrepris en remettant en cause la valeur probante du témoignage de D.________ qui comporterait des contradictions de nature à faire douter de son exactitude. Elle soutient que le témoignage en question devrait être relativisé au vu des liens de proximité existants entre le témoin, employé de l’intimée, et celle-ci. Selon l’appelante, il ressort des faits qu’une indication erronée lui aurait été donnée par D.________, soit que le mélange de peinture vendu par l’intimée comprenait déjà un durcisseur. En l’espèce, l’appelante ne parvient pas à démontrer ses dires alors que le fardeau de la preuve lui appartient. La force probante du témoignage de l’employé de l’intimée – dont on relève que c’est elle- même qui l’a requis et qu’elle est dès lors malvenue de se plaindre de son contenu – importe peu, car même à écarter ce témoignage, l’appelante n’établit pas pour autant avoir commandé un durcisseur. En particulier, rien ne permet d’exclure que l’appelante n’aurait pas tout simplement commis une erreur en ne vérifiant pas qu’elle disposait de tous les produits nécessaires aux travaux de peinture qu’elle entendait exécuter elle-même. L’appelante se contente de livrer sa propre version des faits, qu’aucun indice ne vient par ailleurs accréditer. La simple vraisemblance d’un fait ne saurait être établie par la seule déclaration d’une partie, à plus forte raison, dans la mesure où les déclarations d’une partie en procédure ne sauraient constituer une preuve sous l’angle de l’art. 8 CC. S’agissant des prétendues erreurs et fausses indications du vendeur, on relève que le fait qu’un diluant incompatible avec la peinture ait été livré n’est pas de nature à démontrer que l’employé aurait promis à l’appelante que la peinture en question était une peinture qui contenait d’ores et déjà un durcisseur. On ne peut pas non plus inférer des actes ultérieurs du vendeur, soit de son courriel du 24 septembre 2018, par lequel il a déclaré être « content d’apprendre que cette machine [allait] faire peau neuve ! Pour vous et pour nous », qu’il aurait commis une erreur et qu’il en aurait été conscient, admettant par là sa responsabilité.</w:t>
      </w:r>
    </w:p>
    <w:p>
      <w:r>
        <w:t>- 16 - En outre, l’appelante a elle-même allégué avoir contacté l’intimée pour commander dix litres de peinture à deux composants (2K), le diluant adéquat, un bidon gradué pour le mélange ainsi qu’une laque de protection anti-rayure (cf. all. 8 de la demande du 31 octobre 2019). Elle ne fait pas référence, dans le cadre de ses allégués, à sa volonté de commander un durcisseur, ni même, comme elle l’allègue en appel, avoir demandé à l’intimée de lui faire parvenir tous les produits nécessaires à la peinture d’un engin de chantier. Dès lors, il doit être retenu que l’intimée a livré ce que l’appelante lui a commandé. Par ailleurs, l’appelante a admis que l’utilisation d’un vernis acrylique deux composants nécessitait l’ajout d’un durcisseur, ce qui, aux yeux des parties, constituerait une notion élémentaire dans le domaine de la peinture. Comme l’a considéré le premier juge, il n’appartenait pas à l’intimée d’inviter spontanément l’appelante à commander, respectivement à commander directement un durcisseur en même temps que la peinture, notamment au vu de l’expérience de trente ans de l’appelante dans ce domaine selon ses déclarations à l’audience de jugement. A ce sujet, l’appelante nuance certes en appel ses propos tenus lors de l’audience de première instance en rappelant que son but consiste en l’exploitation d’une entreprise de parcs et jardins et non pas en la peinture de machines de chantier. Toutefois, si, comme elle tente de le soutenir en appel, elle n’était finalement pas avisée dans ce domaine, elle aurait dû d’autant plus procéder aux vérifications nécessaires avant d’exécuter les travaux de peinture en cause et se renseigner en conséquence. Pour le surplus, on ne distingue pas que la dénomination contenue dans le bon de livraison du 13 septembre 2018, soit « [i]nstallation mélange peinture acrylique » rende plausible le fait que l’intimée aurait promis à l’appelante que la peinture en question contenait déjà un durcisseur, le terme « mélange » pouvant faire référence à un mélange de couleur ou constituer la dénomination générale des commandes de peinture.</w:t>
      </w:r>
    </w:p>
    <w:p>
      <w:r>
        <w:t>- 17 - En définitive, l’appelante ne parvient pas à démontrer que l’intimée lui aurait effectivement promis que la peinture vendue contenait un durcisseur, de sorte qu’il n’est pas établi que la peinture en question aurait souffert d’un défaut. Le grief doit être rejeté. 5. En définitive, l’appel, manifestement mal fondé, doit être rejeté en application de l’art. 312 al. 1 in fine CPC et le jugement confirmé. Les frais judiciaires de deuxième instance, arrêtés à 757 fr. (art. 62 al. 1 TFJC [tarif des frais judiciaires civils du 28 septembre 2010 ; BLV 270.11.5]), sont mis à la charge de l’appelante, qui succombe (art. 106 al. 1 CPC). Il n’y a pas lieu à l’allocation de dépens de deuxième instance, l’intimée n’ayant pas été invitée à se déterminer. Par ces motifs, la Cour d’appel civile prononce : I. L’appel est rejeté. II. Le jugement est confirmé. III. Les frais judiciaires de deuxième instance, arrêtés à 757 fr. (sept cent cinquante-sept francs), sont mis à la charge de l’appelante U.________SA. IV. L’arrêt est exécutoire.</w:t>
      </w:r>
    </w:p>
    <w:p>
      <w:r>
        <w:t>- 18 - La présidente : La greffière : Du Le présent arrêt, dont la rédaction a été approuvée à huis clos, est notifié à : - Me Philippe Eigenheer (pour U.________SA), - Me Marc Häsler (pour C.________GmbH), et communiqué, par l'envoi de photocopies, à : - M. le Président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