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JI19.044822 vom 14. Oktober 2020</w:t>
      </w:r>
    </w:p>
    <w:p>
      <w:r>
        <w:t>VD Tribunal cantonal, 2020-10-14, FR</w:t>
      </w:r>
    </w:p>
    <w:p>
      <w:r>
        <w:rPr>
          <w:b/>
        </w:rPr>
        <w:t xml:space="preserve">Quelle: </w:t>
      </w:r>
      <w:r>
        <w:t>https://mcp.opencaselaw.ch/entscheid/vd_gerichte_JI19.044822</w:t>
      </w:r>
    </w:p>
    <w:p>
      <w:r>
        <w:t>FR: VD_GERICHTE JI19.044822 du 14 octobre 2020</w:t>
      </w:r>
    </w:p>
    <w:p>
      <w:r>
        <w:t>IT: VD_GERICHTE JI19.044822 del 14 ottobre 2020</w:t>
      </w:r>
    </w:p>
    <w:p>
      <w:pPr>
        <w:pStyle w:val="Heading2"/>
      </w:pPr>
      <w:r>
        <w:t>Erwägungen</w:t>
      </w:r>
    </w:p>
    <w:p>
      <w:r>
        <w:rPr>
          <w:b/>
        </w:rPr>
        <w:t>E. 1</w:t>
      </w:r>
    </w:p>
    <w:p>
      <w:r>
        <w:t>Par ordonnance de mesures superprovisionnelles du 10 octobre 2019, puis par ordonnance de mesures provisionnelles du 29 novembre 2019, la présidente a ordonné l’inscription provisoire au Registre foncier de l’Est vaudois d’une hypothèque légale des artisans et entrepreneurs d’un montant de 19'547 fr. 32, avec intérêt à 5 % l’an dès le jour de l’inscription, plus accessoires légaux, en faveur de Q.________ SA, à [...], sur la propriété dont J.________ et P.________ étaient copropriétaires sur la commune de [...]).</w:t>
      </w:r>
    </w:p>
    <w:p>
      <w:r>
        <w:rPr>
          <w:b/>
        </w:rPr>
        <w:t>E. 2</w:t>
      </w:r>
    </w:p>
    <w:p>
      <w:r>
        <w:t>Le 28 février 2020, Q.________ SA a ouvert action au fond contre J.________ et P.________ par le dépôt d’une demande en paiement et en inscription définitive d’une hypothèque légale des artisans et entrepreneurs.</w:t>
      </w:r>
    </w:p>
    <w:p>
      <w:r>
        <w:t>- 3 -</w:t>
      </w:r>
    </w:p>
    <w:p>
      <w:r>
        <w:rPr>
          <w:b/>
        </w:rPr>
        <w:t>E. 3</w:t>
      </w:r>
    </w:p>
    <w:p>
      <w:r>
        <w:t>Le 18 août 2020, J.________ et P.________ ont soulevé le défaut de légitimation active de Q.________ SA et ont requis que la procédure soit en l’état limitée à cette question, qui devrait être tranchée à titre préjudiciel. Ils ont fait valoir qu’ils n’auraient aucun rapport contractuel avec Q.________ SA mais qu’ils auraient exclusivement traité avec la société R.________ SA, devenue depuis lors W.________ SA. Le 25 août 2020, Q.________ SA s’en est remise à justice sur la requête de J.________ et P.________, tout en produisant notamment une cession de créance du 23 septembre 2019, par laquelle [...], pour R.________ SA, déclarait céder à Q.________ SA sa créance contre J.________ et P.________, s’élevant en l’état à 19'547 fr. 32, plus les intérêts légaux et conventionnels. Le 27 août 2020, la présidente a informé J.________ et P.________ qu’elle rejetait leur requête tendant à limiter la procédure à la question de la légitimation active de Q.________ SA.</w:t>
      </w:r>
    </w:p>
    <w:p>
      <w:r>
        <w:rPr>
          <w:b/>
        </w:rPr>
        <w:t>E. 4</w:t>
      </w:r>
    </w:p>
    <w:p>
      <w:r>
        <w:t>Par courrier du 16 septembre 2020, dont ils ont adressé une copie au conseil de Q.________ SA, J.________ et P.________ ont requis de la présidente, sous suite de frais et dépens, qu’elle ordonne la suspension de la procédure jusqu’à droit connu dans le cadre de la procédure pénale pendante devant le Ministère public de l’arrondissement de l’Est vaudois, instruite à l’encontre de [...], administrateur de Q.________ SA, pour faux dans les titres, ensuite de la plainte qu’ils avaient déposée. J.________ et P.________ ont exposé qu’ils doutaient sérieusement de la véracité de la cession de créance produite par la partie adverse.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