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JI18.033228 vom 28. Juli 2020</w:t>
      </w:r>
    </w:p>
    <w:p>
      <w:r>
        <w:t>VD Tribunal cantonal, 2020-07-28, FR</w:t>
      </w:r>
    </w:p>
    <w:p>
      <w:r>
        <w:rPr>
          <w:b/>
        </w:rPr>
        <w:t xml:space="preserve">Quelle: </w:t>
      </w:r>
      <w:r>
        <w:t>https://mcp.opencaselaw.ch/entscheid/vd_gerichte_JI18.033228</w:t>
      </w:r>
    </w:p>
    <w:p>
      <w:r>
        <w:t>FR: VD_GERICHTE JI18.033228 du 28 juillet 2020</w:t>
      </w:r>
    </w:p>
    <w:p>
      <w:r>
        <w:t>IT: VD_GERICHTE JI18.033228 del 28 luglio 2020</w:t>
      </w:r>
    </w:p>
    <w:p>
      <w:pPr>
        <w:pStyle w:val="Heading2"/>
      </w:pPr>
      <w:r>
        <w:t>Erwägungen</w:t>
      </w:r>
    </w:p>
    <w:p>
      <w:r>
        <w:rPr>
          <w:b/>
        </w:rPr>
        <w:t>E. 3</w:t>
      </w:r>
    </w:p>
    <w:p>
      <w:r>
        <w:t>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w:t>
      </w:r>
    </w:p>
    <w:p>
      <w:r>
        <w:rPr>
          <w:b/>
        </w:rPr>
        <w:t>E. 3.1</w:t>
      </w:r>
    </w:p>
    <w:p>
      <w:r>
        <w:t>Pour autant qu'on comprenne bien la motivation de l'appelant, celui-ci semble contester le montant des contributions d'entretien des enfants mises à sa charge, parce qu'elles se fondent sur un revenu qui ne correspond pas à sa situation professionnelle et financière actuelle. Il ne disposerait ainsi pas des ressources nécessaires à s'acquitter des pensions. Le premier juge a arrêté la capacité contributive de l'appelant sur la base d'un revenu hypothétique. Il est précisé que l’appelant ne conteste pas, à juste titre, le fait que l’autorité précédente soit entrée en matière sur la modification de la contribution d’entretien au vu des nouveaux éléments portés à sa connaissance.</w:t>
      </w:r>
    </w:p>
    <w:p>
      <w:r>
        <w:rPr>
          <w:b/>
        </w:rPr>
        <w:t>E. 3.2.1</w:t>
      </w:r>
    </w:p>
    <w:p>
      <w:r>
        <w:t>Conformément à l’art. 286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w:t>
      </w:r>
    </w:p>
    <w:p>
      <w:r>
        <w:rPr>
          <w:b/>
        </w:rPr>
        <w:t>E. 3.2.2</w:t>
      </w:r>
    </w:p>
    <w:p>
      <w:r>
        <w:t>En vertu de l'art. 285 al. 1 CC, la contribution due pour l'entretien de l'enfant doit correspondre à ses besoins ainsi qu'à la situation et aux ressources des père et mère. Pour fixer la contribution</w:t>
      </w:r>
    </w:p>
    <w:p>
      <w:r>
        <w:t>- 13 - d'entretien, le juge doit en principe tenir compte du revenu effectif du débirentier. Il appartient à ce dernier de démontrer avoir entrepris tout ce qui était en son pouvoir pour mettre pleinement à profit sa capacité de gain et pouvoir ainsi continuer à assumer son obligation d'entretien (ATF 143 III 233 consid. 3, JdT 2017 II 455 ; TF 5A_782/2016 du 31 mai 2017 consid. 5.4). Le juge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5A_782/2016 du 31 mai 2017 consid. 5.3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(ATF 137 III 102 consid. 4.2.2.2 ; TF 5A_933/2015 du 23 février 2016 consid. 6.1 et les réf. citées). La jurisprudence retient que, lorsque le débirentier diminue volontairement son revenu alors qu'il savait, ou devait savoir, qu'il lui incombait d'assumer des obligations d'entretien, il est admissible de lui imputer le revenu qu'il gagnait précédemment, ce avec effet rétroactif au</w:t>
      </w:r>
    </w:p>
    <w:p>
      <w:r>
        <w:t>- 14 - jour de la diminution (TF 5A_571/2018 du 14 septembre 2018 consid. 5.1.2 et les réf. citées),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5A_584/2016 du 14 février 2017 consid. 5.1 et les réf.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w:t>
      </w:r>
    </w:p>
    <w:p>
      <w:r>
        <w:rPr>
          <w:b/>
        </w:rPr>
        <w:t>E. 3.3</w:t>
      </w:r>
    </w:p>
    <w:p>
      <w:r>
        <w:t>En l'espèce, le premier juge a retenu qu'on pouvait exiger de l'appelant qu'il travaille à 100 %, que celui-ci pouvait effectivement exercer à plein temps le métier de chauffeur qu'il avait pratiqué jusqu'il y a peu, et que le revenu net qu'il pouvait réaliser était de 4'700 fr. par mois, ce montant étant calculé sur la base des revenus effectivement réalisés par l'appelant lorsqu'il exerçait cette activité à plein temps. L'appelant semble contester qu’on puisse raisonnablement exiger de lui qu’il exerce cette activité de chauffeur et qu’il réalise le revenu hypothétique, en raison de son état de santé.</w:t>
      </w:r>
    </w:p>
    <w:p>
      <w:r>
        <w:t>- 15 -</w:t>
      </w:r>
    </w:p>
    <w:p>
      <w:r>
        <w:rPr>
          <w:b/>
        </w:rPr>
        <w:t>E. 3.3.1</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du médecin soient bien motivées (TF 4A_481/2014 du 20 février 2015 consid. 2.4.1 ; 4A_318/2016 du 3 août 2016 consid. 6.2 ; 5A_266/2017 du 29 novembre 2017 consid. 6.3). Une attestation médicale qui relève l’existence d’une incapacité de travail sans autres explications n’a ainsi pas une grande force probante (TF 5A_239/2017 du 14 septembre 2017 consid. 2.4, FamPra.ch 2018 p. 212).</w:t>
      </w:r>
    </w:p>
    <w:p>
      <w:r>
        <w:rPr>
          <w:b/>
        </w:rPr>
        <w:t>E. 3.3.2</w:t>
      </w:r>
    </w:p>
    <w:p>
      <w:r>
        <w:t>S’agissant de son état de santé, l’appelant n'établit pas une incapacité de travail qui l'empêcherait d'exercer l'activité de chauffeur. Il lui appartenait cependant de démontrer cette prétendue incapacité, ce qu'il n'a pas fait. En particulier, l'appelant se prévaut des conséquences d'un « grave accident » survenu en « fin d'année 2018 » dans son mémoire d’appel. Or, on ne trouve aucune pièce au dossier étayant cet accident. Seul un certificat médical d'incapacité de travail à 100 % du 12 mars 2018 au 31 août 2019 pour cause de « maladie » a été produit, qui n’est du reste pas motivé contrairement aux exigences jurisprudentielles. L'appelant ne conteste cependant pas qu'il ait travaillé tout au long du second semestre 2018 pour la société A.________ B.V. et qu'il ait réalisé les revenus retenus par le premier juge pour cette époque. L'incapacité de travail n'est donc pas établie, elle est au contraire démentie par le comportement de l'appelant. Quant au simple dépôt d'une demande auprès de l’office de l’assurance-invalidité, il ne démontre pas une incapacité de travail effective, l'état de santé devant s'analyser indépendamment d'éventuels droits envers l'assurance-invalidité (TF</w:t>
      </w:r>
    </w:p>
    <w:p>
      <w:r>
        <w:t>- 16 - 5A_836/2015 du 8 avril 2016 consid. 5.2). Concernant le rapport du Dr L.________ du 12 août 2019, ce médecin n’expose pas en quoi l’appelant serait empêché d’exercer une profession, en particulier celle de chauffeur professionnel, et ne se prononce aucunement sur sa capacité de travail. Le grief d’inexigibilité de l’activité professionnelle invoqué doit donc être rejeté.</w:t>
      </w:r>
    </w:p>
    <w:p>
      <w:r>
        <w:rPr>
          <w:b/>
        </w:rPr>
        <w:t>E. 3.4</w:t>
      </w:r>
    </w:p>
    <w:p>
      <w:r>
        <w:t>L'appelant fait ensuite valoir la prise en compte des montants qu’il touche effectivement et non le revenu hypothétique de 4'700 francs. Le premier juge a calculé ce montant, à savoir un revenu mensuel brut de 7'000 fr., correspondant à environ 2'000 km de courses pour une activité de chauffeur professionnel indépendant, en se fondant sur une moyenne des revenus réalisés et du nombre de kilomètres parcourus durant les mois de juin, juillet, octobre, novembre et décembre 2018, soit 34'975 fr. 60 divisés par cinq mois, tout comme le kilométrage de 9'976 km divisés par cinq mois. Il a ensuite déduit les frais de location de véhicule par 900 fr. et les frais kilométriques à hauteur de 1'400 fr. par mois, soit 2'000 km fois 70 centimes, pour obtenir finalement le montant de 4'700 francs. L’appelant ne conteste pas le calcul effectué, qui correspond à la jurisprudence en matière de détermination des revenus des chauffeurs de taxis indépendants (TF 5A_306/2011 du 21 novembre 2011, in FamPra.ch. 2012 p. 410). Il prétend cependant qu’il y a en réalité lieu de tenir compte des 3'085 fr. touchés de l’aide sociale. Il est évident que le revenu hypothétique ne correspond pas aux gains réels de l’appelant, puisque le juge peut précisément, si les conditions jurisprudentielles sont réalisées comme en l’espèce, s'écarter du revenu effectif pour retenir un revenu hypothétique. En effet, au vu des éléments retenus et démontrés par pièces quant aux gains perçus en tant que chauffeur professionnel indépendant, le raisonnement de l’autorité précédente ne peut être remis en doute quant à la possibilité de toucher le montant calculé. Le premier juge s’est fondé sur les pièces au dossier et l’appelant n’établit pas que les chiffres y figurant seraient erronés. L’appelant ayant exercé l’activité de chauffeur professionnel auparavant, il</w:t>
      </w:r>
    </w:p>
    <w:p>
      <w:r>
        <w:t>- 17 - ne prouve pas non plus qu’il ne puisse plus l’exercer. Partant, la deuxième condition pour l’imputation d’un revenu hypothétique est également réalisée et le grief de l’appelant tombe à faux.</w:t>
      </w:r>
    </w:p>
    <w:p>
      <w:r>
        <w:rPr>
          <w:b/>
        </w:rPr>
        <w:t>E. 3.5</w:t>
      </w:r>
    </w:p>
    <w:p>
      <w:r>
        <w:t>La détermination des charges de l'appelant n'est pas contestée, étant relevé que l'ordonnance querellée retient même un montant de charges plus élevé que celui revendiqué dans l'appel (3'415 fr.), en raison des frais professionnels, ce qui est correct. L’appelant ne revient pas non plus sur les autres éléments retenus par le premier juge, soit notamment la situation de l’intimée ou les coûts directs des enfants. Il n’y a dès lors pas lieu de s’écarter de l’ordonnance litigieuse.</w:t>
      </w:r>
    </w:p>
    <w:p>
      <w:r>
        <w:rPr>
          <w:b/>
        </w:rPr>
        <w:t>E. 4.1</w:t>
      </w:r>
    </w:p>
    <w:p>
      <w:r>
        <w:t>En définitive, l’appel, manifestement mal fondé, doit être rejeté selon l’art. 312 al. 1 CPC et l’ordonnance confirmée.</w:t>
      </w:r>
    </w:p>
    <w:p>
      <w:r>
        <w:rPr>
          <w:b/>
        </w:rPr>
        <w:t>E. 4.2</w:t>
      </w:r>
    </w:p>
    <w:p>
      <w:r>
        <w:t>L'appel étant d'emblée dénué de chances de succès, la requête d'assistance judiciaire doit être rejetée (art. 117 let. b CPC).</w:t>
      </w:r>
    </w:p>
    <w:p>
      <w:r>
        <w:rPr>
          <w:b/>
        </w:rPr>
        <w:t>E. 4.3</w:t>
      </w:r>
    </w:p>
    <w:p>
      <w:r>
        <w:t>Vu le sort de l’appel, les frais judiciaires de deuxième instance, arrêtés à 600 fr. (art. 65 al. 2 TFJC [tarif des frais judiciaires civils du 28 septembre 2010 ; BLV 270.11.5]), sont mis à la charge de l’appelant (art. 106 al. 1 CPC).</w:t>
      </w:r>
    </w:p>
    <w:p>
      <w:r>
        <w:rPr>
          <w:b/>
        </w:rPr>
        <w:t>E. 4.4</w:t>
      </w:r>
    </w:p>
    <w:p>
      <w:r>
        <w:t>Il n’est pas alloué de dépens pour l’intimée, qui n’a pas été invitée à se déterminer sur l’appel et vu l’issue du litige.</w:t>
      </w:r>
    </w:p>
    <w:p>
      <w:r>
        <w:t>- 18 - Par ces motifs, le Juge délégué de la Cour d’appel civile prononce : I. L’appel est rejeté. II. L’ordonnance est confirmée. III. La requête d'assistance judiciaire de l'appelant B.D.________ est rejetée. IV. Les frais judiciaires de deuxième instance, arrêtés à 600 fr. (six cents francs), sont mis à la charge de l'appelant B.D.________. V. Il n’est pas alloué de dépens de deuxième instance. VI. L’arrêt est exécutoire. Le juge délégué : La greffière : Du Le présent arrêt, dont la rédaction a été approuvée à huis clos, est notifié en expédition complète à : - Me Monica Mitrea (pour B.D.________), - Me Angelo Ruggiero (pour A.M.________),</w:t>
      </w:r>
    </w:p>
    <w:p>
      <w:r>
        <w:t>- 19 - et communiqué, par l'envoi de photocopies, à : - Monsieur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