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JI17.049736 vom 8. Juni 2022</w:t>
      </w:r>
    </w:p>
    <w:p>
      <w:r>
        <w:t>VD Tribunal cantonal, 2022-06-08, FR</w:t>
      </w:r>
    </w:p>
    <w:p>
      <w:r>
        <w:rPr>
          <w:b/>
        </w:rPr>
        <w:t xml:space="preserve">Quelle: </w:t>
      </w:r>
      <w:r>
        <w:t>https://mcp.opencaselaw.ch/entscheid/vd_gerichte_JI17.049736</w:t>
      </w:r>
    </w:p>
    <w:p>
      <w:r>
        <w:t>FR: VD_GERICHTE JI17.049736 du 8 juin 2022</w:t>
      </w:r>
    </w:p>
    <w:p>
      <w:r>
        <w:t>IT: VD_GERICHTE JI17.049736 del 8 giugno 2022</w:t>
      </w:r>
    </w:p>
    <w:p>
      <w:pPr>
        <w:pStyle w:val="Heading2"/>
      </w:pPr>
      <w:r>
        <w:t>Erwägungen</w:t>
      </w:r>
    </w:p>
    <w:p>
      <w:r>
        <w:rPr>
          <w:b/>
        </w:rPr>
        <w:t>E. 1</w:t>
      </w:r>
    </w:p>
    <w:p>
      <w:r>
        <w:t>L’intimé, né le [...] 1975, originaire de [...] et domicilié à [...], est le père des appelants A.D.________, né le [...] 2009, et B.D.________, né le [...] 2011, et dont la mère est C.D.________, née le [...] 1981 et originaire de [...]. L’intimé est également le père d’une enfant issue d’une autre union : Y.________, née le [...] 2004.</w:t>
      </w:r>
    </w:p>
    <w:p>
      <w:r>
        <w:rPr>
          <w:b/>
        </w:rPr>
        <w:t>E. 1.1</w:t>
      </w:r>
    </w:p>
    <w:p>
      <w:r>
        <w:t>L’appel est recevable contre les décisions finales de première instance (art. 308 al. 1 let. a CPC [Code de procédure civile du 19 décembre 20087; RS 272), dans les causes non patrimoniales et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(Juge</w:t>
      </w:r>
    </w:p>
    <w:p>
      <w:r>
        <w:t>- 18 - délégué CACI 1er juillet 2011/141 ; Tappy, Les voies de droit du nouveau Code de procédure civile, in JdT 2010 III 115, spéc. p. 126). Seules sont donc déterminantes les dernières conclusions prises devant la juridiction de première instance, peu importe le montant que celle-ci a finalement alloué ou les conclusions prises en appel (TF 5A_261/2013 du 19 septembre 2013 consid. 3.3 ; TF 5D_13/2017 du 4 décembre 2017 consid.</w:t>
      </w:r>
    </w:p>
    <w:p>
      <w:r>
        <w:rPr>
          <w:b/>
        </w:rPr>
        <w:t>E. 1.2</w:t>
      </w:r>
    </w:p>
    <w:p>
      <w:r>
        <w:t>En l’espèce, l’appel porte sur une décision finale rendue dans une affaire purement patrimoniale relevant du droit de la famille, dont la valeur litigieuse est supérieure à 10'000 fr., de sorte que la voie de l’appel est ouverte. Déposé en temps utile par une partie qui dispose d’un intérêt au recours, il est recevable. 2.</w:t>
      </w:r>
    </w:p>
    <w:p>
      <w:r>
        <w:rPr>
          <w:b/>
        </w:rPr>
        <w:t>E. 2</w:t>
      </w:r>
    </w:p>
    <w:p>
      <w:r>
        <w:t>Par jugement par défaut du 10 septembre 2012, le Président du Tribunal civil d’arrondissement de La Broye et du Nord vaudois a astreint l’intimé à contribuer à l’entretien de son fils A.D.________ par le versement d’une pension mensuelle, payable d’avance le premier de chaque mois en mains de sa mère, dès le 1er octobre 2010, allocations familiales en sus, de 300 fr. jusqu’à l’âge de 10 ans révolus, de 350 fr. dès lors et jusqu’à l’âge de 15 ans révolus, et de 400 fr. dès lors et jusqu’à la majorité de l’enfant et, au-delà, jusqu’à l’achèvement de sa formation professionnelle (I). Il ressort en substance de ce jugement que l’instruction n’avait pas permis d’établir la situation financière de l’intimé et qu’il pouvait être exigé de ce dernier, âgé de 36 ans et apparemment en bonne santé, qu’il fasse l’effort de se procurer un revenu par son travail. Le Tribunal civil a estimé son revenu à 3'000 fr. net, ce qui représentait un minimum pour une personne sans qualifications particulières, puis il a fixé la contribution d’entretien due pour l’enfant A.D.________ à 300 fr. (10% x 3'000 fr.).</w:t>
      </w:r>
    </w:p>
    <w:p>
      <w:r>
        <w:t>- 6 -</w:t>
      </w:r>
    </w:p>
    <w:p>
      <w:r>
        <w:rPr>
          <w:b/>
        </w:rPr>
        <w:t>E. 2.1</w:t>
      </w:r>
    </w:p>
    <w:p>
      <w:r>
        <w:t>Les parties ont produit des pièces nouvelles en appel.</w:t>
      </w:r>
    </w:p>
    <w:p>
      <w:r>
        <w:rPr>
          <w:b/>
        </w:rPr>
        <w:t>E. 2.2</w:t>
      </w:r>
    </w:p>
    <w:p>
      <w:r>
        <w:t>L’art. 296 al. 1 CPC prévoit la maxime inquisitoire illimitée en ce qui concerne les questions relatives aux enfants (TF 5A_245/2019 du 1er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w:t>
      </w:r>
    </w:p>
    <w:p>
      <w:r>
        <w:rPr>
          <w:b/>
        </w:rPr>
        <w:t>E. 2.3</w:t>
      </w:r>
    </w:p>
    <w:p>
      <w:r>
        <w:t>Dès lors qu’en l’espèce la cause a trait à la contribution d’entretien due en faveur d’enfants mineurs, les maximes inquisitoire illimitée et d’office sont applicables. Les pièces nouvelles produites par les parties sont dès lors recevables. Les faits qui ressortent de ces pièces ont ainsi été intégrés à l’état de fait du présent arrêt dans la mesure de leur pertinence (cf. ch 5, let. h et i des faits). En outre, l'état de fait a été précisé en fonction des relevés AVS qui ont été produits en première instance sur la base de la pièce requise 161. Le premier juge a retenu que selon ces relevés, l'intimé a alterné jusqu'en 2017 des périodes sans emploi et des périodes où il exerçait une activité lucrative. Ces périodes et les revenus correspondants ont été précisés dans les faits du présent arrêt (cf. ch. 7 let. a des faits). Les faits ont également été complétés sur la base de la pièce 8 produite en première instance en ce sens que l'intimé avait offert ses services en 2017 pour personnaliser de vieux vélos, sur la base de la pièce 113 produite en première instance (cf. ch. 7 let. a des faits), que l’intimé, à la suite de sa condamnation pour non-paiement des contributions d’entretien, avait bénéficié d'une décision du 16 juillet 2019 lui permettant d'effectuer un travail d'intérêt collectif (TIG) de 240 heures et qu’au premier juillet 2020, il avait effectué 32 heures, sur la base de la pièce 115 produite en première instance (cf. ch. 7 let. g des faits). Enfin, le contenu du rapport du Dr C.________ a été complété et il a été mentionné que le prof. F.________ avait précisé le 26 septembre 2016 que le patient travaillait comme menuisier, mais n'avait plus d'activité professionnelle depuis deux années (cf. ch. 7 let. d des faits).</w:t>
      </w:r>
    </w:p>
    <w:p>
      <w:r>
        <w:t>- 20 - 3.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4.</w:t>
      </w:r>
    </w:p>
    <w:p>
      <w:r>
        <w:rPr>
          <w:b/>
        </w:rPr>
        <w:t>E. 4</w:t>
      </w:r>
    </w:p>
    <w:p>
      <w:r>
        <w:t>Par jugement par défaut du 19 novembre 2015, le Tribunal civil de l’arrondissement de La Broye et du Nord vaudois a astreint l’intimé à contribuer à l’entretien de son fils B.D.________ par le versement d’une pension mensuelle, payable d’avance le 1er de chaque mois à la mère, dès le 1er mars 2014, allocations familiales éventuelles en plus, de 300 fr. jusqu’à l’âge de six ans révolus, de 350 fr. dès lors et jusqu’à l’âge de 12 ans révolus et de 400 fr. dès lors et jusqu’à la majorité et, au-delà, jusqu’à l’achèvement de la formation professionnelle, aux conditions de l’article 277 alinéa 2 CC (IV). Il ressort en substance de ce jugement que l’intimé bénéficiait du revenu d’insertion, mais travaillait « au noir », étant précisé que la nature de son activité professionnelle n’avait pas pu être déterminée. L’intimé, âgé de 39 ans, ne semblait souffrir d’aucun problème de santé ni d’une diminution de sa capacité de travail et dans tous les cas, il n’avait pas établi qu’il recherchait activement du travail, de sorte qu’il pouvait raisonnablement être exigé de lui qu’il exerce une activité lucrative pour assumer ses obligations familiales. Compte tenu du fait qu’il ne disposait d’aucune formation, le tribunal a considéré que l’intimé était capable de réaliser un revenu mensuel net d’au moins 3'000 fr., part au treizième salaire comprise et qu’il convenait de fixer à sa charge une contribution d’entretien en faveur de son fils B.D.________ correspondant à 10% de ce revenu mensuel net.</w:t>
      </w:r>
    </w:p>
    <w:p>
      <w:r>
        <w:rPr>
          <w:b/>
        </w:rPr>
        <w:t>E. 4.1</w:t>
      </w:r>
    </w:p>
    <w:p>
      <w:r>
        <w:t>Les appelants reprochent au premier juge d’avoir retenu une modification durable des ressources de l’intimé. Ils relèvent que dans le jugement rendu par défaut le 19 novembre 2015, l’état de santé de l’intimé n’avait pas fait l’objet d’investigations, ce qui empêchait toute comparaison des situations et ne permettait pas de retenir que son état de santé était bon à cette époque, et que le premier juge aurait dû examiner la situation au moment du dépôt de la demande, fin 2017, les éléments postérieurs sur lesquels le premier juge s’était fondé étant sans incidence sur le sort de la cause. En outre, les éléments du dossier, même postérieurs au dépôt de la demande, ne permettraient de toute manière pas de retenir une modification durable des circonstances et l’intimé n’aurait pas démontré avoir entrepris des tentatives sérieuses de réinsertion, ni avoir effectué des postulations. Les appelants soutiennent encore qu’il n’est pas démontré que les problèmes de santé de l’intimé avaient un impact sur sa capacité de gain, relevant à cet égard que l’OAI n’était pas entré en matière sur sa demande, que l’intimé avait pu exécuter un travail d’intérêt général et qu’il pratiquait le « gravity bike ». Enfin, les appelants reprochent au premier juge de ne pas avoir effectué une pesée des intérêts de l’enfant et de chacun des parents pour juger de la nécessité de modifier la contribution d’entretien, comme le commanderait la jurisprudence.</w:t>
      </w:r>
    </w:p>
    <w:p>
      <w:r>
        <w:t>- 21 -</w:t>
      </w:r>
    </w:p>
    <w:p>
      <w:r>
        <w:rPr>
          <w:b/>
        </w:rPr>
        <w:t>E. 4.1.1</w:t>
      </w:r>
    </w:p>
    <w:p>
      <w:r>
        <w:t>; TF 5A_218/2012 du 29 juin 2012 consid. 3.3.2, in : FamPra.ch 2012 p. 1099).</w:t>
      </w:r>
    </w:p>
    <w:p>
      <w:r>
        <w:rPr>
          <w:b/>
        </w:rPr>
        <w:t>E. 4.2.1</w:t>
      </w:r>
    </w:p>
    <w:p>
      <w:r>
        <w:t>Aux termes de l'art. 286 al. 1 CC (Code civil suisse du 10 décembre 1907 ; RS 210), 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(al. 2).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 3.1; TF 5A_842/2015 du 26 mai 2016 consid. 2.4.2, non publié in ATF 142 III 518 ; TF 5A_811/2012 du 18 février 2013 consid.3.2 et les références citées ; TF 5A_720/2011 du 8 mars 2012 consid. 4.1.2 et les références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5A_911/2016 du 28 avril 2017 consid. 3.3.1 ; TF 5A33/2015 précité, consid. 4.1 ; TF 5A_15/2014 précité, consid. 3 ; TF 5A_845/2010 du 12 avril 2011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précité, consid. 3.1).</w:t>
      </w:r>
    </w:p>
    <w:p>
      <w:r>
        <w:t>- 22 - Le moment déterminant pour apprécier si des circonstances nouvelles se sont produites est la date du dépôt de la demande de modification. C'est donc à ce moment-là qu'il y a lieu de se placer pour déterminer le revenu et son évolution prévisible (ATF 137 III 604 consid.</w:t>
      </w:r>
    </w:p>
    <w:p>
      <w:r>
        <w:rPr>
          <w:b/>
        </w:rPr>
        <w:t>E. 4.2.2</w:t>
      </w:r>
    </w:p>
    <w:p>
      <w:r>
        <w:t>Du point de vue procédural, le certificat médical constitue une allégation de partie (TF 8C 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w:t>
      </w:r>
    </w:p>
    <w:p>
      <w:r>
        <w:rPr>
          <w:b/>
        </w:rPr>
        <w:t>E. 4.3.1</w:t>
      </w:r>
    </w:p>
    <w:p>
      <w:r>
        <w:t>En l'espèce, l’examen des relevés AVS ne permet pas de déduire qu'au 30 juin 2017, il se serait produit des circonstances nouvelles justifiant une modification des contributions d'entretien fixées dans les jugements de 2012 et 2015. A l'exception de la seule année 2013, au cours de laquelle l'intéressé a réalisé un revenu – à vrai dire fort modeste – de 1'053 fr. par mois, le produit du travail de l'intéressé a été tout à fait négligeable. Il y a dès lors lieu d’admettre que l’intimé était au RI sans discontinuer depuis 2012, soit à la date des deux jugements initiaux et à celle de sa demande de modification de ceux-ci, objet du présent litige. Sous cet angle, sa situation n’a donc pas changé. L'intimé a fait valoir qu'il était désormais incapable de travailler pour des raisons médicales. On pourrait déjà se demander s'il s'agirait là d'un changement dont il serait possible de tenir compte. Alors qu'il était tenu pour capable de le faire, à l'époque des jugements concernés, il ne travaillait pratiquement pas. Il faut toutefois considérer</w:t>
      </w:r>
    </w:p>
    <w:p>
      <w:r>
        <w:t>- 23 - une incapacité de gain – même survenue chez une personne qui n'a jamais travaillé – comme un changement de circonstances. On ne saurait en effet, même si la survenance de l'invalidité n'a aucun effet sur le gain effectivement réalisé, imputer un revenu hypothétique à une personne incapable d'obtenir un revenu par son travail. Partant, il convient d’examiner la capacité de gain de l'intéressé.</w:t>
      </w:r>
    </w:p>
    <w:p>
      <w:r>
        <w:rPr>
          <w:b/>
        </w:rPr>
        <w:t>E. 4.3.2</w:t>
      </w:r>
    </w:p>
    <w:p>
      <w:r>
        <w:t>Le premier juge paraît s'être fondé en partie sur des appréciations du CSR. Or, outre le fait que le CSR n'est pas qualifié pour émettre des appréciations médicales, les opinions que ses collaborateurs ont exprimées ne résistent pas à l'examen. En effet, ils ont indiqué par exemple que l'intéressé était médicalement inapte à exercer « les métiers dans lesquels il a de l'expérience », alors qu'il n'a de véritable expérience dans aucun métier au vu des relevés AVS figurant au dossier. Ils ont aussi relevé, le 12 mars 2019, que l'état de santé de l'intimé n'avait jamais connu de véritable amélioration, alors que si l'on suit l'intimé, cet état de santé ne posait pas les mêmes problèmes en 2015. Quant à l'endettement de l'intimé, qualifié de « point handicapant » par le CSR, et retenu par la première instance pour justifier la ratification de la convention par laquelle l'enfant Y.________ a été privée de toute contribution d'entretien, il résulte du fait que l'intéressé ne s'est jamais acquitté des contributions d'entretien mises à sa charge. Cela revient à considérer que ne pas payer les contributions d'entretien est une raison de les supprimer du fait de l'endettement qui s'ensuit.</w:t>
      </w:r>
    </w:p>
    <w:p>
      <w:r>
        <w:rPr>
          <w:b/>
        </w:rPr>
        <w:t>E. 4.3.3</w:t>
      </w:r>
    </w:p>
    <w:p>
      <w:r>
        <w:t>Dans un certificat médical du 22 septembre 2016, le Prof. F.________ a attesté que l’intimé présentait des lésions cartilagineuses dégénératives des deux genoux, qui contre-indiquaient des activités professionnelles imposant la manutention de charges lourdes, des travaux en position debout prolongée, l'usage d'échafaudages et l'usage intensif d'escaliers, recommandant ainsi une reconversion professionnelle. Dans un rapport du 16 mai 2017, le Dr C.________ a relevé qu'il ne voyait pas de contre-indication pour un travail de bureau.</w:t>
      </w:r>
    </w:p>
    <w:p>
      <w:r>
        <w:t>- 24 - C'est sur cette seule base – et sur le fait que l’intimé avait souffert d'une hernie en 2017 – que le premier juge a considéré que celui- ci était incapable de travailler, même à temps partiel, alors qu'il aurait été capable de le faire en 2012 et 2015. L'intimé, on l'a vu, a produit en appel une nouvelle attestation médicale du Dr L.________. Il en ressort en substance encore une fois que l'intimé souffrirait de gonalgies, mais également de divers problèmes à la hanche, mais non que ceux-ci seraient handicapants. En définitive, l'intimé souffre essentiellement, selon les rapports médicaux produits, d'arthrose des genoux, qui le gêne à la descente et dans les escaliers. Selon l'attestation du Dr L.________, toutefois, l'intéressé serait aussi handicapé au niveau des épaules et aurait des déficits de l'attention. Trois points en particulier méritent d'être relevés. Tout d'abord, les certificats et attestations produits ne s'accordent pas entre eux. Le prof. F.________ exclut la manutention de charges « lourdes », alors que selon le Dr L.________, l’intimé ne pourrait pas même porter plus de deux à quatre kilos ponctuellement, ce qui est extrêmement peu. Il est question de lombosciatalgies, de même que de troubles de l'attention, pour la première fois dans l'attestation du Dr L.________, alors que ces troubles n'avaient pas été allégués. Ensuite, il apparaît que l'intimé a donné des informations erronées ou lacunaires aux praticiens sur son parcours professionnel. Ainsi, le Dr C.________ croyait que celui-ci avait travaillé pendant dix ans dans une entreprise de menuiserie avant que celle-ci ne ferme. Le prof. F.________ a relevé que l’intéressé avait travaillé comme menuisier jusqu'en 2014, alors qu'il ne travaillait pratiquement pas depuis bien avant cela. Le Dr L.________ a quant à lui relevé que l’intimé avait créé sa propre entreprise qu'il avait dû remettre, alors même que les relevés AVS ne font état d’aucun revenu d'indépendant. On doit également et surtout relever que le Dr C.________ estimait qu'il était trop tôt – c'est-à-dire que l'arthrose n'était pas suffisamment développée – pour procéder à une opération et qu’il fallait continuer avec des moyens conservateurs ; dans l'intervalle, compte tenu des douleurs aux genoux malgré l'antalgie, le patient ne pouvait pas effectuer un travail physique.</w:t>
      </w:r>
    </w:p>
    <w:p>
      <w:r>
        <w:t>- 25 - Or, il ressort du rapport du Dr L.________ que l'intimé ne prend aucun antalgique, que les médicaments ne l'aidaient pas vraiment, qu’il ne prenait qu’exceptionnellement du Dafalgan et que sa consommation de CBD – dont on ignore la fréquence – le soulageait. Ces éléments relativisent la portée des certificats médicaux produits. En définitive, l'intimé souffre de ce que l'on appelle communément l’arthrose du genou. Toutefois, l'état des genoux de l'intéressé ne justifie pas une opération et l'IRM montre des troubles dégénératifs modérés. Si l’on peutt éventuellement admettre que l'intéressé ne peut avoir une activité de travailleur de force, il n'y a en revanche aucune raison de penser qu'il serait incapable de gagner par son travail quelque 3'000 fr. par mois, comme l'ont estimé les tribunaux en 2012 et en 2015. Quant au fait que l'intéressé ait été opéré d'une hernie en 2017, il est sans portée dès lors qu’il s'agit d'une intervention – et d'une affection – parfaitement banale et ponctuelle qui ne constitue pas une modification notable des circonstances. Par ailleurs, l'intimé a lui-même demandé et obtenu d'effectuer un travail d'intérêt général pour éviter d'avoir à exécuter une peine privative de liberté, travail qu’il a effectué au moins partiellement à ce jour et qui implique une aptitude à travailler. On doit aussi relever, sans que cela ne soit à lui seul décisif, que l'intéressé, auquel le Dr L.________ interdit toute position accroupie, s'adonne au « gravity bike » en pratiquant de la compétition dans une position dans laquelle les genoux sont pliés à l'extrême, même s’il fait valoir à cet égard que cette activité ne lui fait plier les genoux que pendant quelques minutes. Enfin, l’élément qui paraît ici déterminant est constitué par le fait que l'OAl a quant à lui considéré le 18 avril 2017 – alors que l’action en conciliation date du 30 juin 2017 – que l'intéressé avait une capacité de travail de 100% dans n'importe quelle activité. A cet égard, il est sans pertinence à ce stade, contrairement à ce qu'a estimé le premier juge, que l'intéressé ait déposé, ou ait l'intention de déposer une nouvelle demande.</w:t>
      </w:r>
    </w:p>
    <w:p>
      <w:r>
        <w:t>- 26 -</w:t>
      </w:r>
    </w:p>
    <w:p>
      <w:r>
        <w:rPr>
          <w:b/>
        </w:rPr>
        <w:t>E. 4.3.4</w:t>
      </w:r>
    </w:p>
    <w:p>
      <w:r>
        <w:t>Au vu de ce qui précède, l’intimé est toujours bénéficiaire du RI et n’a pas démontré qu’une incapacité de travail durable serait intervenue depuis les jugements dont la modification est demandée. Les éléments qui précèdent laissent bien penser qu’il est beaucoup moins incapable de travailler qu’il ne l’invoque ici. Il convient donc d’admettre qu’aucun changement de circonstances qui justifierait de revoir les contributions d'entretien n'est établi. A cet égard, il y a encore lieu d’ajouter que la considération du premier juge, selon laquelle la mère des enfants bénéficie également du RI, est sans pertinence aucune. La question à résoudre est limitée à déterminer si une modification de la situation financière de l'intimé au jour du dépôt de la demande justifie une réduction ou la suppression des contributions d’entretien prévues en faveur de ses enfants par les jugements antérieurs. A cet égard, on relève d’ailleurs que la mère des appelants a entièrement assumé leur prise en charge en nature pendant une longue période. 5.</w:t>
      </w:r>
    </w:p>
    <w:p>
      <w:r>
        <w:rPr>
          <w:b/>
        </w:rPr>
        <w:t>E. 5</w:t>
      </w:r>
    </w:p>
    <w:p>
      <w:r>
        <w:t>a) Par requête de conciliation du 30 juin 2017, l’intimé a introduit une action alimentaire tendant à la suspension des contributions d’entretien dues en faveur de ses enfants A.D.________ et B.D.________ à partir du 1er juin 2017 et ce jusqu’à ce que sa situation financière s’améliore. b) A la suite de l’échec de la procédure de conciliation, l’intimé a déposé le 15 novembre 2017 une demande en modification de la contribution d’entretien, concluant, avec suite de frais et dépens, à ce que les contributions d’entretien dues en faveur de ses deux fils</w:t>
      </w:r>
    </w:p>
    <w:p>
      <w:r>
        <w:t>- 7 - A.D.________ et B.D.________ soient supprimées à compter du 1er juin 2017 et ce jusqu’à ce que sa situation financière s’améliore. c) Par courrier du 24 novembre 2017, le BRAPA a indiqué au président qu’il était amené à intervenir en faveur des appelants et de leur mère dès le 1er février 2013 en vertu de la cession signée le 12 juillet 2013 par cette dernière. Il a précisé avoir effectué des avances à raison de 22'050 fr. pour la période du 1er août 2013 au 30 novembre 2017 et qu’il s’opposait à l’effet rétroactif au 1er juin 2017, dès lors que la mère des appelants se verrait contrainte de rembourser à l’Etat les avances perçues à tort dès le 1er juin 2017 jusqu’à la date du jugement. d) En date du 22 mars 2018, les appelants ont déposé une réponse, au pied de laquelle ils ont pris, avec suite de frais et dépens, les conclusions suivantes : « PRINCIPALEMENT I. La demande de T.________ est rejetée. RECONVENTIONNELLEMENT II. Le montant assurant l’entretien convenable de A.D.________, né le [...] 2009, s’élève à CHF 1'970.90 par mois en l’état (coûts directs : CHF 731.10). III. Dès et y compris le 1er février 2017, T.________ contribuera à l’entretien de son enfant A.D.________ par le régulier versement d’une pension mensuelle, payable d’avance le premier jour de chaque mois en mains d’C.D.________, allocations familiales non comprises et dues en sus, de : - CHF 500.- (cinq cents francs suisses) jusqu’à l’âge de 12 ans révolus ; - CHF 550.- (cinq cent cinquante francs suisses) dès lors et jusqu’à la majorité et, au-delà, jusqu’à l’achèvement de la formation professionnelle.</w:t>
      </w:r>
    </w:p>
    <w:p>
      <w:r>
        <w:t>- 8 - IV. Tout employeur, caisse ou organisme servant des indemnités, rentes, salaire ou allocations à T.________, a pour ordre de prélever sur ces indemnités, rentes salaires ou allocations, dès jugement exécutoire, le montant de la pension due par T.________ en faveur de son fils A.D.________, soit CHF 500.-, jusqu’au 31 décembre 2021 (pension d’octobre 2021), puis CHF 550.- jusqu’au 31 septembre 2027 (pension d’octobre 2027), voire au-delà si A.D.________ est toujours en formation, allocations familiales éventuelles en plus, et de verser ces montants directement sur le compte bancaire ou postal d’C.D.________, sur simple présentation du présent jugement. V. Le montant assurant l’entretien convenable d’B.D.________, né le [...] 2011, s’élève à CHF 1'970.90 par mois en l’état (coûts directs : CHF 731.10). VI. Dès et y compris le 1er février 2017, T.________ contribuera à l’entretien de son enfant B.D.________ par le régulier versement d’une pension mensuelle, payable d’avance le premier jour de chaque mois en mains d’C.D.________, allocations familiales non comprises et dues en sus, de : - CHF 500.- (cinq cents francs suisses) jusqu’à l’âge de 12 ans révolus ; - CHF 550.- (cinq cent cinquante francs suisses) dès lors et jusqu’à la majorité et, au-delà, jusqu’à l’achèvement de la formation professionnelle. VII. Tout employeur, caisse ou organisme servant des indemnités, rentes, salaire ou allocations à T.________, a pour ordre de prélever sur ces indemnités, rentes salaires ou allocations, dès jugement exécutoire, le montant de la pension due par T.________ en faveur de son fils B.D.________, soit CHF 500.-, jusqu’au 31 juillet 2023 (pension d’août 2023), puis CHF 550.- jusqu’au 31 juillet 2029 (pension d’août 2029), voire au-delà si B.D.________ est toujours en formation, allocations familiales éventuelles en plus, et de verser ces montants directement sur le compte bancaire ou postal d’C.D.________, sur simple présentation du présent jugement.</w:t>
      </w:r>
    </w:p>
    <w:p>
      <w:r>
        <w:t>- 9 - VIII. Les pensions chiffrées sous chiffres III et V ci-dessus, qui correspond à l’indice suisse des prix à la consommation du mois de février 2017, seront indexées le 1er janvier de chaque année, la première fois le 1er janvier 2019, sur la base de l’indice du mois de novembre précédent, à moins que T.________ n’établisse que ses revenus n’ont pas augmenté, ou qu’ils ont augmenté dans une mesure inférieure à l’indice des prix, cas dans lequel la pension sera indexée proportionnellement. ». e) Par réplique du 12 juillet 2018, l’intimé a persisté dans ses conclusions prises dans le cadre de sa demande du 15 novembre 2017 et a conclu au rejet des conclusions reconventionnelles prises par les défendeurs le 22 mars 2018. f) Par duplique du 22 octobre 2018, les appelants ont confirmé leurs conclusions prises au pied de leur mémoire du 22 mars 2018. g) En date du 14 mars 2019, l’intimé a déposé des déterminations, au pied desquelles il a persisté dans ses conclusions. h) Le 15 mai 2019, s’est tenue une audience d’instruction, lors de laquelle se sont présentés l’intimé et C.D.________ pour les appelants, tous deux assistés de leurs conseils d’office respectifs, le BRAPA ayant été dispensé de comparution. i) Par courrier du 4 septembre 2020, le BRAPA a indiqué que le montant des avances s’élevait à 44'700 fr. pour la période du 1er août 2013 au 30 septembre 2020. j) Le 16 novembre 2020 s’est tenue une audience de jugement, en présence de l’intimé et de la mère des appelants, tous deux assistés de leurs conseils d’office respectifs, le BRAPA ayant été dispensé</w:t>
      </w:r>
    </w:p>
    <w:p>
      <w:r>
        <w:t>- 10 - de comparution. A cette occasion les appelants ont déposé des conclusions modifiées, libellées comme suit : « PRINCIPALEMENT I. maintenu. RECONVENTIONNELLEMENT II. Le montant assurant l’entretien convenable de A.D.________, né le [...] 2009, s’élève à CHF 2'170.90 par mois en l’état (coûts directs : CHF 931.10). III. Dès et y compris le 1er février 2017, T.________ contribuera à l’entretien de son enfant A.D.________ par le régulier versement d’une pension mensuelle, payable d’avance le premier jour de chaque mois en mains d’C.D.________, allocations familiales non comprises et dues en sus, de : - CHF 500.- (cinq cents francs suisses) jusqu’au 28 février 2018 ; - CHF 750.- (sept cent cinquante francs suisses) dès lors et jusqu’à l’âge de 12 ans révolus ; - CHF 800 (huit cents francs suisses) dès lors et jusqu’à la majorité et, au-delà, jusqu’à l’achèvement de la formation professionnelle. IV. Tout employeur, caisse ou organisme servant des indemnités, rentes, salaire ou allocations à T.________, a pour ordre de prélever sur ces indemnités, rentes salaires ou allocations, dès jugement exécutoire, le montant de la pension due par T.________ en faveur de son fils A.D.________, soit CHF 750.-, jusqu’au 31 décembre 2021 (pension d’octobre 2021), puis CHF 800.- jusqu’au 31 septembre 2027 (pension d’octobre 2027), voire au-delà si A.D.________ est toujours en formation, allocations familiales éventuelles en plus, et de verser ces montants directement sur le compte bancaire ou postal d’C.D.________, sur simple présentation du présent jugement.</w:t>
      </w:r>
    </w:p>
    <w:p>
      <w:r>
        <w:t>- 11 - V. maintenu. VI. Dès et y compris le 1er février 2017, T.________ contribuera à l’entretien de son enfant B.D.________ par le régulier versement d’une pension mensuelle, payable d’avance le premier jour de chaque mois en mains d’C.D.________, allocations familiales non comprises et dues en sus, de : - CHF 500.- (cinq cents francs suisses) jusqu’au 28 février 2018 ; - CHF 750.- (sept cent cinquante francs suisses) dès lors et jusqu’à l’âge de 12 ans révolus ; - CHF 800.- (huit cents francs suisses) dès lors et jusqu’à la majorité et, au-delà, jusqu’à l’achèvement de la formation professionnelle. VII. Tout employeur, caisse ou organisme servant des indemnités, rentes, salaire ou allocations à T.________, a pour ordre de prélever sur ces indemnités, rentes salaires ou allocations, dès jugement exécutoire, le montant de la pension due par T.________ en faveur de son fils B.D.________, soit CHF 750.-, jusqu’au 31 juillet 2023 (pension d’août 2023), puis CHF 800.- jusqu’au 31 juillet 2029 (pension d’août 2029), voire au-delà si B.D.________ est toujours en formation, allocations familiales éventuelles en plus, et de verser ces montants directement sur le compte bancaire ou postal d’C.D.________, sur simple présentation du présent jugement. VIII. maintenu. ». L’intimé a conclu au rejet desdites conclusions. Tentée à cette occasion, la conciliation a échoué. Le président a ensuite indiqué aux parties que la cause n’était pas en l’état d’être jugée, dès lors que les témoins n’avaient pas été cités à comparaître, et que l’audience serait réappointée à la première date utile. j) Par décision du 26 octobre 2020 – confirmée par arrêt du 13 janvier 2021 de la Chambre des curatelles du Tribunal cantonal –, la Justice de Paix du district de la Broye-Vully a notamment mis fin à</w:t>
      </w:r>
    </w:p>
    <w:p>
      <w:r>
        <w:t>- 12 - l’enquête en limitation de l’autorité parentale et en fixation du droit de visite ouverte en faveur des enfants A.D.________ et B.D.________, a retiré, en application de l’art. 310 CC, le droit de déterminer le lieu de résidence d’C.D.________ sur ses enfants et confié un mandat de placement et de garde à la Direction générale de l’enfance et de la jeunesse (DGEJ). k) Le 15 février 2021 s’est tenue l’audience d’instruction et de jugement, à laquelle se sont présentés l’intimé, assisté de son conseil d’office, ainsi que le conseil d’office des appelants. La mère de ceux-ci a été dispensée de comparution personnelle sur le siège. Le BRAPA a également été dispensé de comparution personnelle. Le président a procédé aux auditions des témoins [...] et [...], ainsi qu’à l’interrogatoire de l’intimé. Enfin, les conseils des parties ont plaidé. l) Par ordonnance du 4 mars 2021, le Tribunal fédéral a octroyé l’effet suspensif au recours déposé par C.D.________ contre l’arrêt du 13 janvier 2021 de la Chambre des curatelles du Tribunal cantonal.</w:t>
      </w:r>
    </w:p>
    <w:p>
      <w:r>
        <w:rPr>
          <w:b/>
        </w:rPr>
        <w:t>E. 5.1</w:t>
      </w:r>
    </w:p>
    <w:p>
      <w:r>
        <w:t>En définitive, l’appel doit être admis et le jugement réformé en ce sens que la demande déposée par T.________ le 15 novembre 2017 est rejetée. Les conclusions principales des appelants étant admises, leurs conclusions subsidiaires sont sans objet. On relève au demeurant que dès lors que les appelants n’ont établi aucun changement, leurs conclusions prises en première et à nouveau en appel ne pouvaient qu’être rejetées. En effet, faute d’élément nouveau, il n’y avait pas lieu d’entrer en matière sur leurs conclusions en réforme.</w:t>
      </w:r>
    </w:p>
    <w:p>
      <w:r>
        <w:rPr>
          <w:b/>
        </w:rPr>
        <w:t>E. 5.2</w:t>
      </w:r>
    </w:p>
    <w:p>
      <w:r>
        <w:t>Vu l’issue de l’appel, le jugement attaqué doit également être réformé en ce sens que les frais judiciaires de première instance, arrêtés à 1'100 fr., sont mis entièrement à la charge du demandeur T.________ (art. 106 al. 1 CPC). Celui-ci versera également aux défendeurs et appelants la somme de 4'500 fr. à titre de dépens de première instance.</w:t>
      </w:r>
    </w:p>
    <w:p>
      <w:r>
        <w:rPr>
          <w:b/>
        </w:rPr>
        <w:t>E. 5.3</w:t>
      </w:r>
    </w:p>
    <w:p>
      <w:r>
        <w:t>Les appelants obtenant en définitive entièrement gain de cause en appel, les frais judiciaires de deuxième instance, arrêtés à 600 fr. (art. 63 al. 1 TFJC [tarif des frais judiciaires civils du 28 septembre 2010 ;</w:t>
      </w:r>
    </w:p>
    <w:p>
      <w:r>
        <w:t>- 27 - BLV 270.11.5]), seront mis à la charge de l’intimé (art. 106 al. 1 CPC). Ce montant sera toutefois laissé provisoirement à la charge de l’Etat, l’intimé ayant été mis au bénéfice de l’assistance judiciaire pour la procédure d’appel (122 al. 1 let. b CPC). Vu l’issue du litige, l’intimé versera en outre aux appelants la somme de 2'500 fr. à titre de dépens de deuxième instance, l’assistance judiciaire dont il bénéficie ne dispensant pas du versement des dépens à la partie adverse (art. 118 al. 3 CPC). On relèvera encore qu’en application de la jurisprudence fédérale (TF 5A_75/2020 du 12 janvier 2022 consid. 6.7 et 7.3 et TF 5A_69/2020 du 12 janvier 2022 consid. 5 et 6), il y a lieu de considérer que l’Etat de Vaud, représenté par le BRAPA, ne dispose pas – nonobstant la subrogation visée aux art. 131a al. 2 ou 289 al. 2 CC – de la légitimation quant à la contribution d’entretien litigieuse, de sorte qu’il n’est pas partie à la procédure.</w:t>
      </w:r>
    </w:p>
    <w:p>
      <w:r>
        <w:rPr>
          <w:b/>
        </w:rPr>
        <w:t>E. 5.4</w:t>
      </w:r>
    </w:p>
    <w:p>
      <w:r>
        <w:t>Me David Millet, conseil d’office des appelants, a produit sa liste des opérations le 3 janvier 2022 et a annoncé avoir consacré 11 heures à la cause. Le 13 avril 2022, il a toutefois sollicité d’être relevé de son mandat d’office au motif qu’il mettait fin à sa pratique du barreau au 30 avril 2022, avec l’indication que Me Sarah Riat était disposée à reprendre ce mandat d’office avec l’accord des appelants. Ces deux avocats ont confirmé, par courrier du 25 avril 2022, que l’indemnité d’office pouvait être arrêtée en faveur de Me Riat. Il y a dès lors lieu de modifier l’ordonnance d’assistance judiciaire du 9 septembre 2021 en désignant Me Sarah Riat en qualité de défenseur d’office. Le décompte de Me Millet apparaît adéquat et peut être admis dans son intégralité. Il s'ensuit que l’indemnité de Me Riat sera fixée à hauteur de 1'980 fr. (180 fr. x 11), montant auquel s'ajoutent les débours par 39 fr. 60 (2% ; art. 3bis al. 1 RAJ [règlement sur l'assistance judiciaire en matière civile du 7 décembre 2010 ; BLV 211.02.3]) et la TVA à 7.7%</w:t>
      </w:r>
    </w:p>
    <w:p>
      <w:r>
        <w:t>- 28 - sur le tout par 155 fr. 50, soit à 2'175 fr. 10 au total, arrondi à 2'175 francs.</w:t>
      </w:r>
    </w:p>
    <w:p>
      <w:r>
        <w:rPr>
          <w:b/>
        </w:rPr>
        <w:t>E. 5.5</w:t>
      </w:r>
    </w:p>
    <w:p>
      <w:r>
        <w:t>Me Sarah El-Abshihy, conseil d’office de l’intimé, a produit sa liste des opérations le 10 janvier 2022 et a annoncé avoir consacré 9 heures et 4 minutes à la cause. Ce décompte apparaît adéquat et peut être admis dans son intégralité. Il s'ensuit que l’indemnité de Me El- Abshihy sera fixée à hauteur de 1’632 (180 fr. x 9,066), montant auquel s'ajoutent les débours par 32 fr. 65 (2% ; art. 3bis al. 1 RAJ) et la TVA à 7.7% sur le tout par 128 fr. 20, soit à 1'792 fr. 85 au total, arrondi à 1'793 francs.</w:t>
      </w:r>
    </w:p>
    <w:p>
      <w:r>
        <w:rPr>
          <w:b/>
        </w:rPr>
        <w:t>E. 5.6</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des affaires institutionnelles et des communes de fixer le principe et les modalités de ce remboursement (art. 39a CDPJ [Code du 12 janvier 2010 de droit privé judiciaire vaudois ; BLV 121.02]).</w:t>
      </w:r>
    </w:p>
    <w:p>
      <w:r>
        <w:rPr>
          <w:b/>
        </w:rPr>
        <w:t>E. 6</w:t>
      </w:r>
    </w:p>
    <w:p>
      <w:r>
        <w:t>Conformément à une convention conclue le 28 janvier 2020 par l’intimé et la mère de Y.________ et ratifiée par le Tribunal civil de l’arrondissement de Lausanne le 22 avril 2020, la contribution d’entretien due par l’intimé en faveur de son enfant Y.________ a été supprimée avec effet au 1er mars 2018. La ratification est motivée comme il suit dans le jugement : « Dit accord reflète la situation de fait qui prévaut : le demandeur se trouve dans une position financière précaire depuis de nombreuses années, dans l’incapacité d’honorer les contributions d’entretien dues pour ses enfants Y.________, A.D.________ et B.D.________. Il s’est lourdement endetté auprès du BRAPA, qui a dû pallier ses carences. Le SPJ a en outre dispensé le demandeur de contribuer financièrement à la prise en charge de sa fille Y.________ avec effet au 1er mars 2018, du fait qu’il émarge au RI. Enfin, l’accord des parties du 28 janvier 2020 a été avalisé par le BRAPA le 5 février suivant. Dans ces circonstances, il convient de ratifier la convention du 28 janvier 2020 pour valoir jugement alimentaire exécutoire. »</w:t>
      </w:r>
    </w:p>
    <w:p>
      <w:r>
        <w:t>- 13 -</w:t>
      </w:r>
    </w:p>
    <w:p>
      <w:r>
        <w:rPr>
          <w:b/>
        </w:rPr>
        <w:t>E. 7</w:t>
      </w:r>
    </w:p>
    <w:p>
      <w:r>
        <w:t>Les primes d’assurance-maladie de A.D.________ et B.D.________ se montent à 109 fr. 20 par enfant, dont à déduire les subsides cantonaux par 111 fr. 10 par enfant. Le montant des allocations familiales est de 300 fr. par enfant. En d roit : 1.</w:t>
      </w:r>
    </w:p>
    <w:p>
      <w:r>
        <w:rPr>
          <w:b/>
        </w:rPr>
        <w:t>E. 8</w:t>
      </w:r>
    </w:p>
    <w:p>
      <w:r>
        <w:t>mai 2012 consid. 4.2 ; Juge délégué CACI 20 février 2015/136 consid. 3 ; Bohnet, op. cit., nn. 29 s. ad art. 276 CPC).</w:t>
      </w:r>
    </w:p>
    <w:p>
      <w:r>
        <w:t>- 19 -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(ATF 144 III 349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