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JI17.044403 vom 31. Mai 2018</w:t>
      </w:r>
    </w:p>
    <w:p>
      <w:r>
        <w:t>VD Tribunal cantonal, 2018-05-31, FR</w:t>
      </w:r>
    </w:p>
    <w:p>
      <w:r>
        <w:rPr>
          <w:b/>
        </w:rPr>
        <w:t xml:space="preserve">Quelle: </w:t>
      </w:r>
      <w:r>
        <w:t>https://mcp.opencaselaw.ch/entscheid/vd_gerichte_JI17.044403</w:t>
      </w:r>
    </w:p>
    <w:p>
      <w:r>
        <w:t>FR: VD_GERICHTE JI17.044403 du 31 mai 2018</w:t>
      </w:r>
    </w:p>
    <w:p>
      <w:r>
        <w:t>IT: VD_GERICHTE JI17.044403 del 31 maggio 2018</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w:t>
      </w:r>
    </w:p>
    <w:p>
      <w:r>
        <w:t>- 10 - ordonne les mesures nécessaires sans être lié par les conclusions des parties et même en l'absence de conclusions (ATF 128 III 411 consid. 3.1 et les références citées).</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 153 consid. 3 ; ATF 129 III 18 consid. 2.6 ; TF 5A_877/2013 du 10 février 2014 consid. 4.1.3 ; TF 5A_906/2012 du 18 avril 2013 consid. 5.1.2 ; TF 5A_695/2012 du 20 mars 2013 consid. 4.1.1). Si l'instance d'appel doit procéder à l'administration d'une preuve nouvelle ou instruire à raison de faits nouveaux, son pouvoir sera limité par les restrictions de l'art. 317 CPC (Jeandin, CPC commenté, Bâle 2011, nn. 5 et 9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w:t>
      </w:r>
    </w:p>
    <w:p>
      <w:r>
        <w:t>- 11 -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RSPC 2011 p. 320, avec note approbatrice de Tappy) considère qu'en appel les novas sont soumis au régime ordinaire, même dans les causes soumises à la maxime inquisitoire (en ce sens Tappy, Les voies de droit du nouveau Code de procédure civile, in JdT 2010 III 115 ; Hohl, Procédure civile, Tome II, 2e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5A_456/2016 du 28 octobre 2016 consid. 4.1 ; TF 5A_22/2014 du 13 mai 2014 consid. 4.2, publié in RSPC 2014 p. 456, qui relève que la question de principe n'a pas encore été tranchée ; TF 5A_342/2013 du 27 septembre 2013 consid. 4.1.2).</w:t>
      </w:r>
    </w:p>
    <w:p>
      <w:r>
        <w:rPr>
          <w:b/>
        </w:rPr>
        <w:t>E. 3.2</w:t>
      </w:r>
    </w:p>
    <w:p>
      <w:r>
        <w:t>En l’espèce, l’appelant sollicite des mesures d’instruction complémentaires, à savoir la production par l’intimée de ses comptes</w:t>
      </w:r>
    </w:p>
    <w:p>
      <w:r>
        <w:t>- 12 - bancaires afin de pouvoir vérifier si celle-ci réalise des revenus accessoires. L’appelant n’a pas demandé production de ces pièces auprès du premier juge alors qu’il lui aurait été loisible de le faire. Quoi qu’il en soit, ces titres sont de toute manière sans incidente sur l’issue du litige (cf. infra consid. 5.2), sa réquisition étant dès lors rejetée pour ce motif.</w:t>
      </w:r>
    </w:p>
    <w:p>
      <w:r>
        <w:rPr>
          <w:b/>
        </w:rPr>
        <w:t>E. 4.1</w:t>
      </w:r>
    </w:p>
    <w:p>
      <w:r>
        <w:t>L'appelant reproche au magistrat de première instance d'avoir constaté de manière inexacte certains faits.</w:t>
      </w:r>
    </w:p>
    <w:p>
      <w:r>
        <w:rPr>
          <w:b/>
        </w:rPr>
        <w:t>E. 4.2</w:t>
      </w:r>
    </w:p>
    <w:p>
      <w:r>
        <w:t>L'art. 310 CPC n'interdit nullement à la Cour cantonale d'aboutir à des constatations de fait différentes de celles auxquelles l'autorité de première instance est parvenue. Il ne précise pas non plus comment le juge d'appel doit apprécier les preuves et sur quelles bases il peut se forger une opinion (TF 4A_748/2012 du 3 juin 2013 consid. 2.1). L'appel doit être motivé (art. 311 al. 1 CPC), à savoir qu'il doit exposer précisément en quoi le raisonnement du premier juge serait erroné (TF 4A_474/2013 du 10 mars 2014 consid. 3.1) et indiquer sur quels points et en quoi la décision attaquée violerait le droit ou sur quels points et en quoi les faits auraient été constatés de manière inexacte ou incomplète par le premier juge. Aussi,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1er février 2012/57 consid. 2a).</w:t>
      </w:r>
    </w:p>
    <w:p>
      <w:r>
        <w:rPr>
          <w:b/>
        </w:rPr>
        <w:t>E. 4.3</w:t>
      </w:r>
    </w:p>
    <w:p>
      <w:r>
        <w:t>En l'occurrence, l'appelant semble contester les faits retenus par l'autorité précédente mais confond en réalité le grief de constatation inexacte des faits avec celui d'appréciation erronée des faits. Ainsi, il</w:t>
      </w:r>
    </w:p>
    <w:p>
      <w:r>
        <w:t>- 13 - critique l'appréciation du premier juge sans expliquer précisément quel fait n'aurait pas dû être retenu ou aurait été constaté de manière inexacte et, a fortiori, sans amener de preuves qui contrediraient les faits retenus, procédé qui n'est pas admissible dans le cadre d'un appel. Au demeurant, il n'explique pas non plus pour quels motifs les faits retenus par le magistrat de première instance seraient le résultat d'une appréciation erronée de sa part. En conséquence, le grief de constatation inexacte des faits est dès lors infondé.</w:t>
      </w:r>
    </w:p>
    <w:p>
      <w:r>
        <w:rPr>
          <w:b/>
        </w:rPr>
        <w:t>E. 5.1</w:t>
      </w:r>
    </w:p>
    <w:p>
      <w:r>
        <w:t>L'appelant invoque une violation de son droit à la preuve et rappelle qu'en matière de mesures provisionnelles, il suffit que les faits soient plausibles. Il fait valoir à cet égard que le fait qu'il ait procédé à des versements en espèces sur son compte privé ne suffirait pas à rendre vraisemblable la réalisation d'un revenu accessoire. Il soutient également que l'intimée ne se serait pas suffisamment expliquée sur sa situation financière et notamment sur des revenus accessoires qu'elles réaliserait, d'une part, dans le cadre de ses activités de vente de Tupperware et, d'autre part, en effectuant des heures de repassage.</w:t>
      </w:r>
    </w:p>
    <w:p>
      <w:r>
        <w:rPr>
          <w:b/>
        </w:rPr>
        <w:t>E. 5.2</w:t>
      </w:r>
    </w:p>
    <w:p>
      <w:r>
        <w:t>S'agissant de ses revenus accessoires, le premier juge a retenu que l'appelant avait effectué, lors de la période du 1er janvier au 20 octobre 2017, huit versements d’espèces consécutifs sur son compte bancaire, pour un montant total de 7'540 fr., opérations pour lesquelles il n'avait pas fourni d'explications tangibles. Il a ainsi été retenu que ces versements s'apparentaient, au stade de la vraisemblance, à des revenus accessoires. L'appelant conteste ce raisonnement, mais ne rend pas plus vraisemblable qu'en première instance qu'il ne s'agirait pas de revenus accessoires, ne donnant aucun renseignement supplémentaire quant à la provenance de ces fonds. En outre, au vu de l'ampleur de cette somme, le fait de prétendre qu'il s'agissait à chaque fois de recréditer son compte de montants précédemment prélevés confine à la mauvaise foi.</w:t>
      </w:r>
    </w:p>
    <w:p>
      <w:r>
        <w:t>- 14 - De son côté, l'intimée a produit des pièces concernant trois activités salariées, documents sur lesquels le premier juge s'est fondé pour déterminer son revenu mensuel net moyen. La production des comptes bancaires de l'intimée ne permettrait vraisemblablement pas de déceler des activités accessoires telles que celles alléguées par l'appelant, à savoir des heures de repassage ou la vente de Tupperware, dès lors qu'il est dans l'ordre des choses que ces activités soient rémunérées en espèces. Quoiqu'il en soit, on voit mal que l'intimée, qui est déjà occupée par l’exercice de trois emplois, puisse tirer un revenu conséquent de ces éventuelles activités au point qu'il faille en tenir compte. Enfin, du point de vue de l'égalité de traitement entre les parties, s'il a pu être rendu vraisemblable que l'appelant exerce une activité accessoire en raison des versements opérés sur son compte bancaire, il est tout aussi vraisemblable qu'il n'y reverse pas l'entier de son revenu accessoire. Le moyen est mal fondé.</w:t>
      </w:r>
    </w:p>
    <w:p>
      <w:r>
        <w:rPr>
          <w:b/>
        </w:rPr>
        <w:t>E. 6.1</w:t>
      </w:r>
    </w:p>
    <w:p>
      <w:r>
        <w:t>L'appelant soutient encore que le premier juge n'aurait pas dû accorder à l'intimée une contribution de prise en charge dès lors que l'enfant G.________ va à la crèche du lundi au jeudi et qu'elle est gardée le vendredi par une maman de jour. En substance, l'intimée soutient que dans la mesure où elle n'a pas d'horaires fixes dans le cadre de ses emplois, elle n'avait pas d'autres choix que de faire garder sa fille par une crèche et une maman de jour, choix que les parties avaient fait en commun. Elle précise en outre que pour que les frais de crèche diminuent, il faudrait que l'appelant s'inscrive dans sa nouvelle commune.</w:t>
      </w:r>
    </w:p>
    <w:p>
      <w:r>
        <w:rPr>
          <w:b/>
        </w:rPr>
        <w:t>E. 6.2</w:t>
      </w:r>
    </w:p>
    <w:p>
      <w:r>
        <w:t>L'entretien de l'enfant est assuré par les soins, l'éducation et des prestations pécuniaires (art. 276 al. 1 CC). Les père et mère contribuent ensemble, chacun selon ses facultés, à l'entretien convenable</w:t>
      </w:r>
    </w:p>
    <w:p>
      <w:r>
        <w:t>- 15 - de l'enfant et assument en particulier les frais de sa prise en charge, de son éducation, de sa formation et des mesures prises pour le protéger (art. 276 al. 2 CC). 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concernant la révision du code civil suisse [Entretien de l'enfant] du 29 novembre 2013, FF 2014 511 [ci-après :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(Juge délégué CACI 28 mars 2017/128 consid. 3.1 et les références citées ; Guillod, La détermination de l'entretien de l'enfant, in Le nouveau droit de l'entretien de l'enfant et du partage de la prévoyance, Bâle 2016, n. 46 ss et les références citées ; Stoudmann, Le nouveau droit de l'entretien de l'enfant en pratique : ce qui change et ce qui reste, in RMA 6/2016 pp. 427 ss, spéc. p. 434). L'addition des coûts directs de l'enfant – éventuellement pondérés en fonction de la prise en charge effective de chaque parent – et de la contribution de prise</w:t>
      </w:r>
    </w:p>
    <w:p>
      <w:r>
        <w:t>- 16 - en charge constituera le montant dû au titre de contribution d'entretien pour l'enfant. Lorsque l'impossibilité du parent gardien d'assumer ses propres frais de subsistance n'est pas en lien avec la prise en charge de l'enfant, il n'y a pas lieu d'octroyer une contribution à ce titre (Stoudmann, La contribution de prise en charge, in 9e symposium en droit de la famille 2017, Entretien de l'enfant et prévoyance professionnelle, Fountoulakis/Jungo [éd.], Genève/Zurich 2018, p. 94 et les références citées).</w:t>
      </w:r>
    </w:p>
    <w:p>
      <w:r>
        <w:rPr>
          <w:b/>
        </w:rPr>
        <w:t>E. 6.3</w:t>
      </w:r>
    </w:p>
    <w:p>
      <w:r>
        <w:t>En l'espèce, l'appelant allègue que l'enfant G.________ est placée toute la semaine, soit quatre jours auprès de la crèche et un jour auprès de la maman de jour. L'intimée ne conteste pas cet état de fait mais s'en explique au motif que ses horaires de travail sont irréguliers. Peu importe en définitive dès lors que la question n'est pas de savoir s'il est justifié de placer l'enfant auprès de tiers – notamment au regard du budget des parties ou des décisions prises pendant la vie commune –, mais bien d'examiner si l'intimée renonce à un revenu supplémentaire pour être auprès de son enfant et prendre soin de lui pendant la journée. Or, tel n'est vraisemblablement pas le cas dès lors qu'il n'est pas contesté que l'enfant est placée auprès de tiers chacun des cinq jours ouvrables. Partant, il ne se justifie pas, dans la cadre de la fixation de la contribution d'entretien due pour l'enfant G.________, de tenir compte d'une contribution de prise en charge, quand bien même la mère de l'enfant est en situation de déficit. Le moyen est bien fondé. Il s'ensuit qu'aucune contribution de prise en charge n'est due par l'appelant à l'enfant G.________ en sus du montant de la contribution de 1'340 fr. convenue par les parties au chiffre IV de la convention conclue lors de l'audience du 1er décembre 2017, ratifiée pour valoir ordonnance partielle de mesures provisionnelles, le montant de cette contribution assurant l'entretien convenable de l'enfant.</w:t>
      </w:r>
    </w:p>
    <w:p>
      <w:r>
        <w:t>- 17 -</w:t>
      </w:r>
    </w:p>
    <w:p>
      <w:r>
        <w:rPr>
          <w:b/>
        </w:rPr>
        <w:t>E. 7.1</w:t>
      </w:r>
    </w:p>
    <w:p>
      <w:r>
        <w:t>En définitive, l’appel doit être admis et l’ordonnance réformée en ce sens qu’aucune contribution de prise en charge n’est due par l’appelant en sus du montant de la contribution de 1'340 fr. convenue par les parties au chiffre IV de la convention conclue le 1er décembre 2017, le montant de cette contribution assurant l’entretien convenable de l’enfant G.________.</w:t>
      </w:r>
    </w:p>
    <w:p>
      <w:r>
        <w:rPr>
          <w:b/>
        </w:rPr>
        <w:t>E. 7.2</w:t>
      </w:r>
    </w:p>
    <w:p>
      <w:r>
        <w:t>Si l’instance d’appel statue à nouveau, elle se prononce sur les frais de la première instance (art. 318 al. 3 CPC).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En l’occurrence, l’intimée obtient une contribution d’entretien pour l’enfant, mais n’obtient finalement aucune contribution de prise en charge. Elle succombe en outre sur ses autres conclusions dans le cadre de la procédure provisionnelle, étant rappelé que les frais des mesures superprovisionnelles suivent le sort des mesures provisionnelles. Partant, les frais judiciaires de première instance, arrêtés par l’autorité précédente à 800 fr. – montant non remis en cause en appel –, seront principalement mis à la charge de l’intimée, par 600 francs. Toutefois, dans la mesure où elle bénéficiait de l’assistance judicaire pour la procédure de première instance, ces frais seront provisoirement laissés à la charge de l’Etat (art. 122 al. 1 let. b CPC), l’intéressée étant rendue attentive au fait qu’elle est tenue de les rembourser dès qu’elle sera en mesure de le faire (art. 123 al. 1 CPC). L’intimée devra en outre verser à l’appelant un montant de 1'200 fr. à titre de dépens réduits de première instance.</w:t>
      </w:r>
    </w:p>
    <w:p>
      <w:r>
        <w:rPr>
          <w:b/>
        </w:rPr>
        <w:t>E. 7.3</w:t>
      </w:r>
    </w:p>
    <w:p>
      <w:r>
        <w:t>Vu le sort de l’appel, les frais judiciaires de deuxième instance, arrêtés à 600 fr. (art. 65 al. 2 TFJC [Tarif des frais judiciaires civils du 28</w:t>
      </w:r>
    </w:p>
    <w:p>
      <w:r>
        <w:t>- 18 - septembre 2010 ; RSV 270.11.5]), seront mis à la charge de l’intimée (art. 106 al. 1 CPC). Toutefois, dès lors que cette dernière est au bénéfice de l’assistance judiciaire, ces frais seront provisoirement laissés à la charge de l’Etat (art. 122 al. 1 let. b CPC). L’intimée versera en outre à l’appelant de pleins dépens de deuxième instance, arrêtés à 1'200 francs.</w:t>
      </w:r>
    </w:p>
    <w:p>
      <w:r>
        <w:rPr>
          <w:b/>
        </w:rPr>
        <w:t>E. 7.4.1</w:t>
      </w:r>
    </w:p>
    <w:p>
      <w:r>
        <w:t>Lorsque la partie au bénéfice de l’assistance succombe, le conseil juridique commis d’office est rémunéré équitablement par le canton (art. 122 al. 1 let. a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w:t>
      </w:r>
    </w:p>
    <w:p>
      <w:r>
        <w:rPr>
          <w:b/>
        </w:rPr>
        <w:t>E. 7.4.2</w:t>
      </w:r>
    </w:p>
    <w:p>
      <w:r>
        <w:t>Me Bertrand Pariat, conseil d’office de l’intimée, a produit une liste de ses opérations le 8 mai 2018, faisant état d’un temps consacré au dossier de 8 heures et 45 minutes pour la période du 2 février au 8 mai 2018, ainsi que de débours d’un montant de 28 francs. L’assistance judiciaire pour la procédure d’appel ayant été accordée avec effet au 7 février 2018, les opérations effectuées les 2 et 5 février 2018 (12 et 30 minutes) n’ont pas à être rémunérées. En outre, il se justifie de retrancher les opérations intitulées « Lettre au Tribunal cantonal » des 7 février et 9 mars 2018 (deux fois 12 minutes) et « Lettre à Me Monteiro Santos » du 9 mars 2018 (6 minutes) dès lors que ces écrits apparaissent constituer de simples courriers de transmission relevant d’un travail de secrétariat qui fait partie des frais généraux de l’avocat couverts par le tarif horaire applicable (Juge délégué CACI 2 octobre 2017/437</w:t>
      </w:r>
    </w:p>
    <w:p>
      <w:r>
        <w:t>- 19 - consid. 7.1 ; CREC 18 août 2017/310 consid. 5.3 ; CREC 14 septembre 2015/332 consid. 3.2 ; CREC 3 septembre 2014/312 consid. 3c). Il y a également lieu de retrancher les opérations relatives à la réception de courriers des 12 février, 13 mars et 7 juin (trois fois 6 minutes) dans la mesure où les envois en question n’impliquaient qu’une lecture cursive et brève ne dépassant pas les quelques secondes pour un avocat correctement formé (CACI 22 mars 2017/124 ; CCUR 29 novembre 2016/266 ; CREC 3 août 2016/301). Enfin, le temps annoncé pour la rédaction de la réponse, soit 2 heures et 30 minutes, est manifestement excessif dès lors que cette écriture, constituée de deux pages, ne contient que des faits et que le conseil d’office avait déjà comptabilisé une opération relative à la prise de connaissance de l’appel d’une durée de 36 minutes. Dans ces conditions et compte tenu de la connaissance du dossier de première instance, il se justifie de réduire de moitié le temps annoncé pour la rédaction de la réponse. En définitive, il sera retenu un temps consacré au dossier de 6 heures. Il s’ensuit qu’au tarif horaire de 180 fr., l’indemnité de Me Pariat doit être fixée à 1'080 fr., montant auquel s’ajoutent les débours par 28 fr. et la TVA sur le tout par 85 fr. 35, soit 1'193 fr. 35 au total, somme arrondie à 1'200 francs.</w:t>
      </w:r>
    </w:p>
    <w:p>
      <w:r>
        <w:rPr>
          <w:b/>
        </w:rPr>
        <w:t>E. 7.5</w:t>
      </w:r>
    </w:p>
    <w:p>
      <w:r>
        <w:t>Enfin, l’intimée est rendue attentive au fait qu’elle est tenue au remboursement des frais judiciaires et de l’indemnité à son conseil d’office provisoirement laissés à la charge de l’Etat dès qu’elle sera en mesure de le faire (art. 123 al. 1 CPC).</w:t>
      </w:r>
    </w:p>
    <w:p>
      <w:r>
        <w:t>- 20 - Par ces motifs, la Juge déléguée de la Cour d’appel civile prononce : I. L’appel est admis. II. L’ordonnance est annulée et il est statué à nouveau comme il suit : I. dit qu’aucune contribution de prise en charge n’est due par W.________ à sa fille G.________, née le [...] 2015, en sus de la contribution d’entretien de 1'340 fr. (mille trois cent quarante francs) convenue entre les parties dans le cadre du chiffre IV de la convention signée le 1er décembre 2017 ; II. dit que les frais judiciaires de la procédure provisionnelle de S.________, arrêtés à 800 fr. (huit cents francs), sont laissés par 600 fr. (six cents francs) à la charge de l’Etat et mis par 200 fr. (deux cents francs) à la charge de W.________ ; III. dit que l’indemnité du conseil de S.________ sera fixée dans une décision ultérieure ; IV. dit que la bénéficiaire de l’assistance judiciaire est, dans la mesure de l’art. 123 al. 1 CPC, tenue au remboursement des frais judiciaires et de l’indemnité au conseil d’office provisoirement laissés à la charge de l’Etat ; V. dit que S.________ doit verser à W.________ la somme de 1'200 fr. (mille deux cents francs) à titre de dépens de première instance ;</w:t>
      </w:r>
    </w:p>
    <w:p>
      <w:r>
        <w:t>- 21 - VI. rejette toutes autres ou plus amples conclusions. III. L’indemnité de Me Bertrand Pariat, conseil d’office de l’intimée S.________, est arrêtée à 1'200 fr. (mille deux cents francs), TVA et débours compris. IV. Les frais judiciaires de deuxième instance de l’intimée S.________, arrêtés à 600 fr. (six cents francs), sont provisoirement laissés à la charge de l’Etat. V. La bénéficiaire de l’assistance judiciaire est, dans la mesure de l’art. 123 al. 1 CPC, tenue au remboursement des frais judiciaires et de l’indemnité au conseil d’office provisoirement laissés à la charge de l’Etat. VI. L’intimée S.________ doit verser à l’appelant W.________ la somme de 1'200 fr. (mille deux cents francs) à titre de dépens de deuxième instance. VII. L’arrêt est exécutoire. La juge déléguée : Le greffier : Du Le présent arrêt, dont la rédaction a été approuvée à huis clos, est notifié en expédition complète à : - Me Catarina Monteiro Santos (pour W.________), - Me Bertrand Pariat (pour S.________),</w:t>
      </w:r>
    </w:p>
    <w:p>
      <w:r>
        <w:t>- 22 -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