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JI17.044128 vom 11. Oktober 2022</w:t>
      </w:r>
    </w:p>
    <w:p>
      <w:r>
        <w:t>VD Tribunal cantonal, 2022-10-11, FR</w:t>
      </w:r>
    </w:p>
    <w:p>
      <w:r>
        <w:rPr>
          <w:b/>
        </w:rPr>
        <w:t xml:space="preserve">Quelle: </w:t>
      </w:r>
      <w:r>
        <w:t>https://mcp.opencaselaw.ch/entscheid/vd_gerichte_JI17.044128</w:t>
      </w:r>
    </w:p>
    <w:p>
      <w:r>
        <w:t>FR: VD_GERICHTE JI17.044128 du 11 octobre 2022</w:t>
      </w:r>
    </w:p>
    <w:p>
      <w:r>
        <w:t>IT: VD_GERICHTE JI17.044128 del 11 ottobre 2022</w:t>
      </w:r>
    </w:p>
    <w:p>
      <w:pPr>
        <w:pStyle w:val="Heading2"/>
      </w:pPr>
      <w:r>
        <w:t>Erwägungen</w:t>
      </w:r>
    </w:p>
    <w:p>
      <w:r>
        <w:rPr>
          <w:b/>
        </w:rPr>
        <w:t>E. 5</w:t>
      </w:r>
    </w:p>
    <w:p>
      <w:r>
        <w:t>Le 10 janvier 2022, le Ministère public du canton du Valais a rendu une ordonnance de classement, sans effet suspensif. Il en ressort qu’une expertise a été confiée à l’experte-psychologue [...] dans le cadre de l’enquête. De cette expertise, il ressort que l’appelante éprouve des difficultés à ne pas mélanger les registres conjugaux et parentaux et qu’elle se montre méfiante à l’égard de l’intimé, méfiance qui ne permet pas à W.________ de se sentir en sécurité avec son père. L’appelante est incapable de tenir sa fille éloignée de la colère et de l’acrimonie qu’elle ressent à l’égard de l’intimé. Le procureur a retenu qu’aucun fait pénalement répréhensible ne pouvait être retenu contre l’intimé, que ce soit à l’égard de sa fille W.________, de ses aînés [...] et [...], ou de l’aînée de l’appelante, [...], étant précisé qu’il avait également été dénoncé concernant ces enfants.</w:t>
      </w:r>
    </w:p>
    <w:p>
      <w:r>
        <w:t>- 13 -</w:t>
      </w:r>
    </w:p>
    <w:p>
      <w:r>
        <w:rPr>
          <w:b/>
        </w:rPr>
        <w:t>E. 5.1</w:t>
      </w:r>
    </w:p>
    <w:p>
      <w:r>
        <w:t>Compte tenu de ce qui précède, l’appel doit être rejeté conformément à l’art. 312 al. 1 in fine CPC et l’ordonnance entreprise doit être confirmée.</w:t>
      </w:r>
    </w:p>
    <w:p>
      <w:r>
        <w:rPr>
          <w:b/>
        </w:rPr>
        <w:t>E. 5.2</w:t>
      </w:r>
    </w:p>
    <w:p>
      <w:r>
        <w:t>Dès lors que l’appel de I.________ était d’emblée dépourvu de chances de succès, la demande d’assistance judiciaire présentée par celle- ci doit être rejetée (art. 117 let. b CPC). La requête d’assistance judiciaire de l’intimé doit également être rejetée. Son conseil n’a eu qu’à se déterminer sur la requête d’effet suspensif. Il n’en résultera que des honoraires très limités, d’autant que son conseil l’avait assisté en première instance et connaissait le dossier. L’intimé devrait ainsi être en mesure d’acquitter ses honoraires pour la deuxième instance.</w:t>
      </w:r>
    </w:p>
    <w:p>
      <w:r>
        <w:t>- 22 -</w:t>
      </w:r>
    </w:p>
    <w:p>
      <w:r>
        <w:rPr>
          <w:b/>
        </w:rPr>
        <w:t>E. 5.3</w:t>
      </w:r>
    </w:p>
    <w:p>
      <w:r>
        <w:t>Les frais judiciaires de deuxième instance, arrêtés à 800 fr., soit 200 fr. pour la décision d’effet suspensif et 600 fr. pour la procédure d’appel (art. 65 al. 2 TFJC et art. 60 TFJC appliqué par analogie en vertu de l’art. 7 al. 1 TFJC [tarif des frais judiciaires civils du 28 septembre 2010 ; BLV 270.11.5]), doivent être mis à la charge de l’appelante, qui succombe (art. 106 al. 1 CPC).</w:t>
      </w:r>
    </w:p>
    <w:p>
      <w:r>
        <w:rPr>
          <w:b/>
        </w:rPr>
        <w:t>E. 5.4</w:t>
      </w:r>
    </w:p>
    <w:p>
      <w:r>
        <w:t>L’appelante versera à l’intimé un montant de 300 fr. à titre de dépens pour ses déterminations sur effet suspensif. Il n’y a en revanche pas lieu à l’allocation de dépens pour la procédure d’appel, l’intimé n’ayant pas été invité à se déterminer.</w:t>
      </w:r>
    </w:p>
    <w:p>
      <w:r>
        <w:t>- 23 - Par ces motifs, le juge unique de la Cour d’appel civile prononce : I. L’appel est rejeté. II. L’ordonnance est confirmée. III. La requête d’assistance judiciaire de l’appelante I.________ est rejetée. IV. La requête d’assistance judiciaire de l’intimé J.________ est rejetée. V. Les frais judiciaires de deuxième instance, arrêtés à 800 fr. (huit cents francs), sont mis à la charge de l’appelante I.________. VI. L’appelante I.________ versera à l’intimé J.________ la somme de 300 fr. (trois cents francs) à titre de dépens de deuxième instance. VII. L’arrêt est exécutoire. Le juge unique : La greffière :</w:t>
      </w:r>
    </w:p>
    <w:p>
      <w:r>
        <w:t>- 24 - Du Le présent arrêt, dont la rédaction a été approuvée à huis clos, est notifié en expédition complète à : - Me Jeton Kryeziu (pour I.________), - Me Laure Chappaz (pour J.________), et communiqué, par l'envoi de photocopies, à : - M. le Président du Tribunal d’arrondissement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a) Par requête de mesures provisionnelles et superprovisionnelles du 14 février 2022, l’appelante a requis l’autorisation entreprendre seule toutes les démarches, qu’elles soient judiciaires ou administratives, en Suisse et au [...], visant à ce que sa fille W.________ acquiert la nationalité [...] et obtienne un passeport et la carte d’identité du [...] (1), ainsi que toutes les démarches liées au renouvellement des passeports et cartes d’identité suisse et [...] de W.________ (2). Par ordonnance du 15 février 2022, le président a rejeté les conclusions prises à titre superprovisionnelles. b) Par déterminations du 27 avril 2022, l’intimé a conclu au rejet de la requête du 14 février 2022 (I), à ce que son droit de visite s’exerce à raison d’un week-end sur deux du samedi à 10h00 au lundi matin au début des classes, ainsi que durant la moitié des vacances scolaires, moyennant préavis de deux mois donné à la mère, et durant la moitié des jours fériés légaux, en alternance, à charge pour lui d’aller chercher sa fille au pied de l’immeuble de l’appelante et de la déposer à l’école les lundis matins (II). c) Le Point Rencontre a établi, le 6 mai 202, un relevé de fréquentation concernant la période du 17 octobre 2020 au 16 avril 2022, dont il ressort notamment que les visites planifiées ont toutes été honorées à partir de l’année 2022, à l’exception de deux, une le 19 février lorsque l’appelante était en vacances au [...] avec sa fille, et une occasion à laquelle l’intimé ne s’est pas présenté. d) Les parties ont été entendues lors de l’audience de mesures provisionnelles du 20 juin 2022. A cette occasion, elles ont signé une convention partielle, ratifiée sur le siège pour valoir ordonnance partielle de mesures provisionnelles exécutoire, dont les termes ont été repris dans le dispositif de l’ordonnance entreprise (cf. supra A) et rendent sans objet les conclusions prises par l’appelante le 14 février 2022.</w:t>
      </w:r>
    </w:p>
    <w:p>
      <w:r>
        <w:t>- 14 - En d roit : 1. 1.1 L'appel est recevable contre les ordonnances de mesures provisionnelles et les mesures protectrices de l'union conjugale dans les causes non patrimoniales ou dont la valeur litigieuse, au dernier état des conclusions devant l’autorité inférieure, est de 10'000 fr. au moins (art. 308 al. 1 let. a et al. 2 CPC). L'appel, écrit et motivé, doit être introduit dans les trente jours à compter de la notification de la décision motivée (art. 311 al. 1 CPC). 1.2 En l'espèce, formé en temps utile par une partie qui a un intérêt digne de protection (art. 59 al. 2 let. a CPC), l’appel, portant sur des conclusions non patrimoniales, est recevable. La réponse, déposée en temps utile, est également recevable. 2. L'appel peut être formé pour violation du droit (art. 310 let. a CPC) et constatation inexacte des faits (art. 310 let.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(ATF 138 III 374 consid. 4.3.1 ; TF 4D_7/2020 du 5 août 2020 consid. 5 ; TF 4A_215/2017 du 15 janvier 2019 consid. 3.4). Le large pouvoir d'examen en fait et en droit ainsi défini s'applique même si la décision attaquée est de nature provisionnelle (JdT 2011 Ill 43 consid. 2 et les réf. cit.). Le libre pouvoir d’examen ne signifie pas que le juge d’appel soit tenu, comme une autorité de première instance, d’examiner toutes les questions de fait ou de droit qui peuvent se poser, lorsque les parties ne</w:t>
      </w:r>
    </w:p>
    <w:p>
      <w:r>
        <w:t>- 15 -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3. 3.1 L’appelante fait en premier lieu valoir, de manière un peu obscure, que le premier juge n’aurait pas expliqué en quoi le fait que le père dispose d’un droit de visite habituel serait favorable à l’enfant. 3.2 3.2.1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w:t>
      </w:r>
    </w:p>
    <w:p>
      <w:r>
        <w:t>- 16 - Dans chaque cas, la décision doit donc être prise de manière à répondre le mieux possible aux besoins de l'enfant, l'intérêt des parents étant relégué à l'arrière-plan (ATF 130 III 585 consid. 2.2.1 et les réf. cit. ; TF 5A_369/2018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2019, n. 984, pp. 635 s. et les réf.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cf. Meier/Stettler, op. cit., n. 985, p. 636 et les réf. cit.). 3.2.2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5A_172/2012 du 16 mai 2012 consid. 4.1.1, rés. in</w:t>
      </w:r>
    </w:p>
    <w:p>
      <w:r>
        <w:t>- 17 - RMA 2012 p. 300). Conformément au principe de la proportionnalité, il importe en outre que cette menace ne puisse être écartée par d'autres mesures appropriées (TF 5A_877/2013 du 10 février 2014 consid. 6.1 ; TF 5A_448/2008 du 2 octobre 2008 consid. 4.1 ; ATF 131 III 209 consid. 5, JdT 2005 I 201).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Droit de la filiation, 5e éd., 2014, n. 779, pp. 512 s).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(TF 1C_219/2007 du 19 octobre 2007 consid. 2, publié in FamPra.ch 2008 p. 173). Pour prendre une telle décision, le juge dispose d'un large pouvoir d'appréciation au sens de l'art. 4 CC et fait application du principe de proportionnalité (Chaix, Commentaire romand, Code civil I, 2010, n. 20 ad art. 176 CC ; TF 5A 826/2009 du 22 mars 2010 consid. 2.1). L'importance à accorder à l'opinion de l'enfant concerné, lorsqu'il s'agit d'organiser des relations personnelles, dépend de l'âge de celui-ci (FamPra.ch 2009 p. 740 consid. 5.1). 3.3 En l’espèce, il convient de rappeler à l’appelante les considérations qui précèdent, en particulier le fait que les relations personnelles avec l’enfant sont à la fois un droit et un devoir pour le parent qui n’a pas la garde. Il est important pour l’enfant d’entretenir des</w:t>
      </w:r>
    </w:p>
    <w:p>
      <w:r>
        <w:t>- 18 - relations avec ses deux parents, à moins qu’une raison impérieuse ne s’y oppose. De nombreuses décisions ont été rendues entre les parties, rappelant ces principes, et l’appelante ne saurait prétendre les ignorer. Le rapport établi par la DGEJ en 2018 relève que les deux parents disposent de compétences éducatives. Il n’est pas établi que les compétences éducatives de l’intimé auraient diminué dans l’intervalle. Il convient dès lors d’examiner si une autre raison s’oppose à ce que l’intimé puisse exercer son droit de visite selon les modalités usuelles. 3.4 L’appelante se plaint ensuite du fait que le surveillant au sens de l’art. 209 CC n’a pas été consulté. La première rencontre entre celui-ci et l’enfant aurait été agendée au 26 août 2022. La mission qui a été confiée au surveillant est définie dans la décision de la justice de paix du 1er décembre 2021. Elle ne comprend pas la compétence pour se prononcer sur le droit de visite. L’avocat Ammann n’est pas le curateur de l’enfant. Il est chargé de surveiller le déroulement des relations personnelles, non de préaviser sur celles-ci. Dans la mesure où l’appelante entendait faire valoir que l’instruction aurait été insuffisante, ce qu’elle laisse entendre, on ne voit pas la pertinence de ce moyen. L’avocat Ammann n’avait même pas encore vu l’enfant. Et on ne voit pas ce qu’il aurait pu apporter de plus s’il l’avait vu une fois. L’appelante ne le précise d’ailleurs pas. Ce moyen doit être rejeté. 3.5 L’appelante fait encore valoir que l’annulation de la visite de l’intimé le 5 février 2022 aurait engendré chez l’enfant un grand sentiment de frustration et de mal-être et qu’il ne s’agirait pas du seul manquement de l’intimé à son droit de visite, puisqu’il aurait à deux reprises raccourci celui-ci, et ne l’aurait pas exercé à plusieurs reprises. Outre que ces faits ne sont nullement établis, étant au contraire infirmés par le relevé établi par le Point Rencontre le 6 mai 2022, il s’agit là de moyens similaires,</w:t>
      </w:r>
    </w:p>
    <w:p>
      <w:r>
        <w:t>- 19 - jusqu’à dans leurs détails, à ceux que l’appelante avait fait valoir dans son appel contre le jugement du 6 novembre 2019. On peut renvoyer sur ce point aux motifs de l’arrêt sur appel du 16 novembre 2020 : il ne s’agit pas de moyens de nature à limiter le droit de visite, et ils ne font que démontrer l’acharnement mis par l’appelante à limiter le droit de visite de l’intimé, relevé par la DGEJ. 3.6 L’appelante invoque également que l’intimé ne serait pas domicilié à l’adresse qu’il a indiquée dans sa requête de mesures provisionnelles. Il s’agirait de l’adresse de ses parents, et l’intimé n’entendrait pas s’occuper de sa fille. Ce moyen présente une certaine analogie avec le précédent. Là encore, l’appelante prétend limiter le droit de visite de l’intimé en affirmant que celui-ci ne l’exercera pas. Il avait été précédemment instruit sur ce point et l’intimé a produit des pièces démontrant qu’il habite dans un des appartements de la maison appartenant à ses parents (cf. pièce 28 produite par l’intimé le 24 janvier 2019). Il ressort aussi de la décision de la justice de paix que l’intimé a pris toutes les mesures utiles pour pouvoir accueillir sa fille. 3.7 L’appelante fait valoir, comme en première instance, que l’intimé aurait brutalisé sa fille lors d’une visite au Point Rencontre. Plus précisément, il l’aurait prise brutalement dans les bras, lui occasionnant une contusion. Le premier juge a examiné ce moyen, et l’a écarté à juste titre. Les faits sont contestés et ne sont nullement établis ; les collaborateurs du Point Rencontre n’ont rien signalé ; l’appelante elle- même n’a rien signalé à l’époque où le certificat médical qu’elle a produit a été établi. On remarquera encore que la cause de la contusion mentionnée par le certificat résulte seulement des propos tenus au médecin par l’appelante. 3.8 Enfin, l’appelante fait valoir que selon l’enfant, la femme de l’intimé lui aurait donné des fessées, et l’intimé lui-même lui aurait fait un « bisous sur la fleur ». Comme l’a fait remarquer l’intimé dans ses déterminations sur l’effet suspensif, le droit de visite s’exerce de manière médiatisée depuis 2019. Les prétendues fessées données par la femme de</w:t>
      </w:r>
    </w:p>
    <w:p>
      <w:r>
        <w:t>- 20 - l’intimé ne sont aucunement établies, et cela alors que l’enfant est suivie par la DGEJ depuis des années. Quant au propos concernant le « bisous sur la fleur », il ne s’agit que d’une répétition de l’accusation qui a conduit à l’enquête pénale. Tous les moyens de l’appelante, qui ne sont que des répétitions et des variations de moyens précédemment invoqués, doivent être rejetés. 4. De manière générale, l’appelante fait valoir encore que l’enfant ne souhaiterait pas un droit de visite plus large qu’actuellement, qu’elle serait mal à l’aise avec son père, et manifesterait de l’inquiétude. Elle produit des dessins de l’enfant qui montreraient son mal-être. Il est tout à fait possible que l’enfant ressente un certain mal- être, sans que l’on doive en tirer la conséquence que le droit de visite du père devrait rester limité à deux heures médiatisées tous les quinze jours. L’experte mandatée dans le cadre de la procédure pénale a relevé que l’appelante était incapable de tenir sa fille éloignée de la colère et de l’acrimonie qu’elle ressent à l’égard de l’intimé. La DGEJ, dans un rapport d’évaluation du 9 juin 2020, repris par la justice de paix dans sa décision, a relevé l’acharnement de l’appelante pour limiter l’exercice du droit de visite de l’intimé, sans tenir compte des besoins psychiques de sa fille ou des conséquences de ses agissements sur le développement de cette dernière ; la collaboratrice de la DGEJ a confirmé ces propos dans un rapport du 9 avril 2021 adressé à la justice de paix. Cet acharnement est d’ailleurs visible au travers des procédures successives qui ont divisé les parties. L’appelante a obtenu que le droit de visite de l’intimé soit réduit en attendant l’évaluation de la DGEJ. En 2018, la DGEJ a préconisé un droit de visite usuel, après une période d’adaptation. C’est ce qui a finalement été décidé dans le jugement du 6 novembre 2019. L’appelante a fait appel de cette décision,</w:t>
      </w:r>
    </w:p>
    <w:p>
      <w:r>
        <w:t>- 21 - invoquant des moyens que les juges de la CACI ont qualifiés de prétextes de nature à mettre en doute sa capacité à faire une place au père dans l’existence de sa fille. Elle a ensuite ajouté à ses arguments des accusations d’abus sexuels. Ces accusations ont été écartées par les autorités pénales, et de manière tout à fait raisonnable, au vu de ce qui précède, le premier juge a ordonné qu’un droit de visite usuel serait exercé. L’appelante a présent reprend tous ses précédents griefs, y compris les même accusations. Comme on l’a vu, tous les professionnels qui se sont occupés du cas ont relevé son acharnement, qui ne tient aucun compte des intérêts et du risque que celui-ci présente pour l’équilibre psychique de sa fille. C’est pour cette raison et nulle autre qu’une mesure de surveillance a été ordonnée par la justice de paix. Tout cela ne saurait en aucune manière plaider en faveur d’une limitation du droit de visite. On pourrait en revanche se demander s’il est bien fondé de laisser la garde de l’enfant à l’appelante. La source du mal-être de l’enfant se trouve manifestement chez cette dernière. Mais l’appel ne porte pas sur cette question.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