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JI16.025912 vom 1. Juli 2019</w:t>
      </w:r>
    </w:p>
    <w:p>
      <w:r>
        <w:t>VD Tribunal cantonal, 2019-07-01, FR</w:t>
      </w:r>
    </w:p>
    <w:p>
      <w:r>
        <w:rPr>
          <w:b/>
        </w:rPr>
        <w:t xml:space="preserve">Quelle: </w:t>
      </w:r>
      <w:r>
        <w:t>https://mcp.opencaselaw.ch/entscheid/vd_gerichte_JI16.025912</w:t>
      </w:r>
    </w:p>
    <w:p>
      <w:r>
        <w:t>FR: VD_GERICHTE JI16.025912 du 1 juillet 2019</w:t>
      </w:r>
    </w:p>
    <w:p>
      <w:r>
        <w:t>IT: VD_GERICHTE JI16.025912 del 1 luglio 2019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Il s’ensuit que l’appel doit être rejeté et le jugement entrepris confirmé. Dès lors que l’appelant succombe, les frais judiciaires de deuxième instance, arrêtés à 764 fr. (art. 62 al. 1 TFJC [tarif des frais judiciaires civils du 28 septembre 2010 ; BLV 270.11.5]), doivent être mis à sa charge (art. 106 al. 1 CPC). L’appelant sera en outre astreint à verser à l’intimée la somme de 1'200 fr. à titre de dépens de deuxième instance (art. 106 al. 1 CPC, art. 3 al. 2 et</w:t>
      </w:r>
    </w:p>
    <w:p>
      <w:r>
        <w:rPr>
          <w:b/>
        </w:rPr>
        <w:t>E. 7</w:t>
      </w:r>
    </w:p>
    <w:p>
      <w:r>
        <w:t>al. 1 TDC [tarif des dépens en matière civile du 23 novembre 2010 ; BLV 270.11.6]).</w:t>
      </w:r>
    </w:p>
    <w:p>
      <w:r>
        <w:t>- 17 -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