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JI15.055452 vom 16. August 2016</w:t>
      </w:r>
    </w:p>
    <w:p>
      <w:r>
        <w:t>VD Tribunal cantonal, 2016-08-16, FR</w:t>
      </w:r>
    </w:p>
    <w:p>
      <w:r>
        <w:rPr>
          <w:b/>
        </w:rPr>
        <w:t xml:space="preserve">Quelle: </w:t>
      </w:r>
      <w:r>
        <w:t>https://mcp.opencaselaw.ch/entscheid/vd_gerichte_JI15.055452</w:t>
      </w:r>
    </w:p>
    <w:p>
      <w:r>
        <w:t>FR: VD_GERICHTE JI15.055452 du 16 août 2016</w:t>
      </w:r>
    </w:p>
    <w:p>
      <w:r>
        <w:t>IT: VD_GERICHTE JI15.055452 del 16 agosto 2016</w:t>
      </w:r>
    </w:p>
    <w:p>
      <w:pPr>
        <w:pStyle w:val="Heading2"/>
      </w:pPr>
      <w:r>
        <w:t>Erwägungen</w:t>
      </w:r>
    </w:p>
    <w:p>
      <w:r>
        <w:rPr>
          <w:b/>
        </w:rPr>
        <w:t>E. 1</w:t>
      </w:r>
    </w:p>
    <w:p>
      <w:r>
        <w:t>B.P.________, née le [...] 1996 et devenue majeure le [...] 2014, est la fille d’A.P.________ et de K.________.</w:t>
      </w:r>
    </w:p>
    <w:p>
      <w:r>
        <w:rPr>
          <w:b/>
        </w:rPr>
        <w:t>E. 2</w:t>
      </w:r>
    </w:p>
    <w:p>
      <w:r>
        <w:t>Par jugement du 1er avril 2005, le Président du Tribunal d’arrondissement de Lausanne a prononcé le divorce des époux A.P.________ et K.________. Ledit jugement est devenu définitif et exécutoire en date du 15 avril 2005.</w:t>
      </w:r>
    </w:p>
    <w:p>
      <w:r>
        <w:t>- 5 - En date du 31 mars 2008, le Président du Tribunal d’arrondissement de Lausanne a rendu un jugement de modification de jugement de divorce. Ce jugement a ratifié pour valoir jugement de modification de jugement de divorce la convention passée entre les parties les 11 et 18 février 2008, telle que modifiée par lettre du 25 février 2008, libellée notamment de la manière suivante : « […] Chiffre III : Dès le 1er novembre 2007, A.P.________ contribuera à l’entretien de sa fille B.P.________ par le régulier versement, payable d’avance le premier de chaque mois, en mains de K.________, allocations familiales en sus, d’une pension mensuelle de : - Fr. 600.- (six cents francs) jusqu’à l’âge de quinze ans révolus ; - Fr. 700.- (sept cents francs) depuis lors et jusqu’à la majorité, l’article 277 alinéa 1 CC étant réservé. […] ». Le jugement de divorce du 1er avril 2005 a été maintenu pour le surplus.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JT 2010 III 134). Elle peut revoir l’appréciation des faits sur la base des preuves administrées en première instance (Tappy, op. cit., p. 135).</w:t>
      </w:r>
    </w:p>
    <w:p>
      <w:r>
        <w:rPr>
          <w:b/>
        </w:rPr>
        <w:t>E. 2.2</w:t>
      </w:r>
    </w:p>
    <w:p>
      <w:r>
        <w:t>Les mesures provisionnelles ou les mesures protectrices de l’union conjugale étant soumises à la procédure sommaire, la cognition est limitée à la simple vraisemblance des faits et à un examen sommaire du droit. Il suffit que les faits soient rendus simplement vraisemblables (Hohl, Procédure civile, Tome II, 2e éd., n. 1901 et les réf. citées). La preuve est vraisemblable lorsque le juge, en se basant sur des éléments objectifs, a l’impression que les faits pertinents se sont produits, sans pour autant qu’il doive exclure la possibilité que les faits aient pu se dérouler autrement (TF 5A_704/2013 du 15 mai 2014 consid. 3.4). Ainsi, dans le cadre de mesures provisionnelles ou de mesures protectrices de l'union conjugale, le juge statue sur la base de la simple vraisemblance après une administration limitée des preuves (ATF 120 Il 352 consid. 2b ; 127 III 474 consid. 2b/bb ; TF 5A_661/2011 du 10 février 2012 consid. 2.3), en se fondant sur les moyens de preuve immédiatement disponibles (ATF 131 III 473 consid. 2.3 in limine ; TF 5A_360/2015 du 13 août 2015 consid. 3.2.2 et les arrêts cités).</w:t>
      </w:r>
    </w:p>
    <w:p>
      <w:r>
        <w:rPr>
          <w:b/>
        </w:rPr>
        <w:t>E. 2.3.1</w:t>
      </w:r>
    </w:p>
    <w:p>
      <w:r>
        <w:t>Conformément à l’art. 316 al. 3 CPC, l’instance d’appel peut administrer les preuves, si elle estime opportun de renouveler l’administration d’une preuve ou d’administrer une preuve alors que</w:t>
      </w:r>
    </w:p>
    <w:p>
      <w:r>
        <w:t>- 10 -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w:t>
      </w:r>
    </w:p>
    <w:p>
      <w:r>
        <w:rPr>
          <w:b/>
        </w:rPr>
        <w:t>E. 2.3.2</w:t>
      </w:r>
    </w:p>
    <w:p>
      <w:r>
        <w:t>En l’occurrence, la Juge déléguée de céans a requis la production en mains de l’Office vaudois de l’assurance-maladie (OVAM) de sa décision concernant des éventuels subsides octroyés à l’intimée pour le paiement de sa prime d’assurance-maladie. Dite décision a été transmise aux parties qui ont eu l’opportunité de se déterminer à son sujet.</w:t>
      </w:r>
    </w:p>
    <w:p>
      <w:r>
        <w:rPr>
          <w:b/>
        </w:rPr>
        <w:t>E. 2.4.1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SJ 2013 I 311).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w:t>
      </w:r>
    </w:p>
    <w:p>
      <w:r>
        <w:t>- 11 - preuve de la diligence requise (Colombini, Condensé de la jurisprudence fédérale et vaudoise relative à l’appel et au recours en matière civile, in JdT 2013 III 131 ss, n. 40 p. 150 et les références citées).</w:t>
      </w:r>
    </w:p>
    <w:p>
      <w:r>
        <w:rPr>
          <w:b/>
        </w:rPr>
        <w:t>E. 2.4.2</w:t>
      </w:r>
    </w:p>
    <w:p>
      <w:r>
        <w:t>En l’espèce, les pièces 1 et 2 produites par l’appelant sont des pièces dites de forme, de sorte qu’elles sont recevables. Quant à la pièce 3, soit une fiche de salaire du mois de février 2016, elle est antérieure à l’audience du 7 mars 2016 et doit donc être déclarée irrecevable. A l’audience d’appel, A.P.________ a également produit un bordereau de pièce contenant une correspondance du [...] du 11 mai 2016 et ses annexes. Cette pièce étant postérieure à l’audience de mesures provisionnelles de première instance, elle doit être déclarée recevable. La Juge déléguée de céans a rejeté la réquisition d’audition en tant que témoin de C.P.________ proposée par l’appelant en estimant que cela n’était pas nécessaire à l’établissement des faits et que les déclarations des parties étaient suffisantes. S’agissant des pièces produites par l’intimée, les pièces 102, 104 et 106 sont recevables dans la mesure où elles sont postérieures à l’audience de première instance du 7 mars 2016. La pièce 103 constitue un fait notoire, conformément à la jurisprudence, ces données pouvant être contrôlées par chacun sur internet (ATF 137 III 623 consid. 3 ; TF 5A_561/2011 du 19 mars 2012, consid. 5.3, in RSPC 2012 p. 290). Les pièces 101 et 105, datées respectivement du 1er mars 2016 et du 17 février 2016, soit antérieurement à l’audience de mesures provisionnelles, doivent être déclarées irrecevables dans la mesure où l’intimée n’explique pas les raisons pour lesquelles elle aurait été dans l’impossibilité de les produire préalablement. 3.</w:t>
      </w:r>
    </w:p>
    <w:p>
      <w:r>
        <w:rPr>
          <w:b/>
        </w:rPr>
        <w:t>E. 3</w:t>
      </w:r>
    </w:p>
    <w:p>
      <w:r>
        <w:t>a) Le 4 décembre 2015, B.P.________ a déposé une demande à l’encontre d’A.P.________, au pied de laquelle elle a conclu, sous suite de frais et dépens, à ce qu’il contribue à son entretien par le versement d’une contribution mensuelle de 500 fr. dès le 1er août 2014 jusqu’à l’issue d’une formation appropriée accomplie dans des délais normaux mais au plus tard jusqu’à ses 25 ans révolus et à ce que cette contribution soit indexée à l’indice suisse des prix à la consommation. Le 13 janvier 2016, B.P.________ a déposé à l’encontre d’A.P.________ une requête de mesures superprovisionnelles et provisionnelles, par laquelle elle a conclu, sous suite de frais et dépens, à ce qu’ordre soit donné à A.P.________ de remettre à B.P.________ ses décisions de taxation pour les années 2013 et 2014 et à ce qu’il contribue à l’entretien de sa fille par le régulier versement, d’avance le premier de chaque mois d’une pension mensuelle de 500 fr., éventuelles allocations</w:t>
      </w:r>
    </w:p>
    <w:p>
      <w:r>
        <w:t>- 6 - familiales non comprises et dues en sus, à compter du 1er septembre 2015. Par courrier du 14 janvier 2016, le premier juge a rejeté la mesure d’extrême urgence. Par courrier du 2 mars 2016, le conseil de B.P.________ a porté à la connaissance du premier juge que le conseil d’A.P.________ lui avait fourni les décisions de taxation de ce dernier pour les années 2013 et 2014 et que de ce fait la conclusion III de la requête déposée le 13 janvier 2016 était devenue sans objet. Le 4 mars 2016, A.P.________ a conclu au rejet pur et simple des conclusions prises au pied de la requête de mesures provisionnelles déposée le 13 janvier 2016 par B.P.________. b) L’audience de mesures provisionnelles s’est tenue le 7 mars 2016 en présence de B.P.________, assistée de son conseil et du conseil d’A.P.________. Ce dernier ne s’est pas présenté, ni personne en son nom, bien que régulièrement cité à comparaître. Au vu du défaut de l’intimé, la conciliation n’a pu être tentée. B.P.________ et le conseil d’A.P.________ ont dès lors maintenu leurs conclusions respectives.</w:t>
      </w:r>
    </w:p>
    <w:p>
      <w:r>
        <w:rPr>
          <w:b/>
        </w:rPr>
        <w:t>E. 3.1</w:t>
      </w:r>
    </w:p>
    <w:p>
      <w:r>
        <w:t>Dans un premier grief, l’appelant se plaint du refus injustifié de restitution de délai du premier juge quant à son défaut à l’audience du 7 mars 2016, invoquant que si une nouvelle audience avait été agendée, sa</w:t>
      </w:r>
    </w:p>
    <w:p>
      <w:r>
        <w:t>- 12 - comparution personnelle lui aurait permis de s’expliquer quant à l’absence de relations personnelles avec sa fille, ce qui aurait amené le premier juge a rejeté la requête de mesures provisionnelles de B.P.________.</w:t>
      </w:r>
    </w:p>
    <w:p>
      <w:r>
        <w:rPr>
          <w:b/>
        </w:rPr>
        <w:t>E. 3.2.1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w:t>
      </w:r>
    </w:p>
    <w:p>
      <w:r>
        <w:rPr>
          <w:b/>
        </w:rPr>
        <w:t>E. 3.2.2</w:t>
      </w:r>
    </w:p>
    <w:p>
      <w:r>
        <w:t>Le droit d’être entendu, consacré par l’art. 29 al. 2 Cst. (Constitution fédérale de la Confédération suisse du 18 avril 1999 ; RS 101)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(ATF 140 I 99 consid. 3.4 ; 135 II 286 consid. 5.1). S’agissant d’une garantie constitutionnelle de nature formelle, sa violation entraîne l'annulation de la décision attaquée, sans égard aux chances de succès du recours sur le fond (ATF 133 I 201 consid. 2.2 ; 132 V 387 consid. 5.1 et l’arrêt cité).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w:t>
      </w:r>
    </w:p>
    <w:p>
      <w:r>
        <w:rPr>
          <w:b/>
        </w:rPr>
        <w:t>E. 3.3</w:t>
      </w:r>
    </w:p>
    <w:p>
      <w:r>
        <w:t>En l’espèce, l’appelant a été cité à comparaître personnellement à l’audience de mesures provisionnelles de première</w:t>
      </w:r>
    </w:p>
    <w:p>
      <w:r>
        <w:t>- 13 - instance, mais ne s’y est pas présenté. Il était cependant valablement représenté par son conseil, de sorte qu’il a pu faire valoir l’ensemble de ses moyens par son intermédiaire. Pour le surplus, l’appelant était présent personnellement lors de l’audience d’appel et a, par conséquent, également pu s’exprimer sur la cause devant la Juge déléguée de céans en complément de son mémoire d’appel. Le grief de l’appelant est infondé.</w:t>
      </w:r>
    </w:p>
    <w:p>
      <w:r>
        <w:rPr>
          <w:b/>
        </w:rPr>
        <w:t>E. 4</w:t>
      </w:r>
    </w:p>
    <w:p>
      <w:r>
        <w:t>Situation personnelle des parties a) A.P.________ s’est remarié avec C.P.________. Deux enfants sont issus de leur union, D.P.________, né le [...] 2007, et E.P.________, née le [...] 2011. C.P.________ est également mère d’un enfant issu d’une précédente union, F.________, née le [...] 2000, qui fait ménage commun avec la famille et est au bénéfice d’une rente AI de 395 fr. et d’une rente 2ème pilier de 37 fr. par mois. L’épouse d’A.P.________ n’exerce aucune activité lucrative. A.P.________ est employé au service d’assainissement de la Ville de [...] en qualité d’ouvrier de collecte et de tri et perçoit à ce titre un</w:t>
      </w:r>
    </w:p>
    <w:p>
      <w:r>
        <w:t>- 7 - salaire mensuel net de 5'717 fr. 40, allocations familiales comprises d’un montant de 830 fr. par mois. Son salaire net effectif représente donc 4'887 fr. 40. Ses charges sont les suivantes : - Montant de base du couple (majoré de fr. 2’040.00 20 %) - Montant de base de E.P.________ et fr. 200.00 D.P.________ - Loyer fr. 1’044.00 - Assurance-maladie fr. 750.10 - Frais de déplacement fr. 72.00 - Frais de repas fr. 238.70 - Frais de garde D.P.________ fr. 45.40 - Frais de garde E.P.________ fr. 213.50 - Activité extrascolaire de D.P.________ fr. 41.70 - Impôts fr. 268.65 TOTAL fr. 4'914.15 b) B.P.________ est en 2ème année d’apprentissage ; elle travaille actuellement pour le [...], à [...]. Elle perçoit un revenu net de 892 fr. par mois ([824 fr. x 13] / 12) (montant arrondi). Par décision du 19 avril 2016, l’Etat de Vaud a octroyé à B.P.________ des subsides de formation à hauteur de 3'980 fr. pour l’année 2015/2016, soit un montant arrondi de 331 fr. par mois. B.P.________ perçoit des allocations de formation professionnelles (allocations familiales pour jeune en formation) à hauteur de 300 fr. par mois, montant qu’il faut déduire de son minimum vital mensuel, celui-ci étant par conséquent de 550 francs. Ses frais de repas sont calculés sur la base de 11 fr. par jour durant 21.7 jours, correspondant à une activité à plein temps.</w:t>
      </w:r>
    </w:p>
    <w:p>
      <w:r>
        <w:t>- 8 - Ses charges sont les suivantes : - Minimum vital fr. 550.00 - Loyer fr. 340.00 - Assurance-maladie fr. 54.05 - Frais de repas fr. 238.70 - Frais de déplacement fr. 94.00 - Frais de répétiteur fr. 108.00 TOTAL fr. 1'384.75 B.P.________ a fait valoir qu’A.P.________ ne lui verse plus la contribution d’entretien fixée par jugement de modification de jugement de divorce rendu le 31 mars 2008 depuis le mois de décembre 2013. c) A l’occasion de l’audience de mesures provisionnelles du 7 mars 2016, B.P.________ a expliqué ne plus entretenir de relations personnelles avec son père depuis l’année 2012. Elle a en sus expliqué être entrée en conflit avec la nouvelle épouse de ce dernier. A.P.________ a fait défaut à l’audience et a allégué que seule sa fille se refusait à tout contact. En d roit : 1.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Formé en temps utile (art. 311 al. 1 CPC) par une partie qui y a un intérêt (art. 59 al. 2 let. a CPC), dans une cause patrimoniale dont la</w:t>
      </w:r>
    </w:p>
    <w:p>
      <w:r>
        <w:t>- 9 - valeur litigieuse, capitalisée selon le prescrit de l’art. 92 al. 1 CPC, est supérieure à 10'000 fr., l’appel est recevable. 2.</w:t>
      </w:r>
    </w:p>
    <w:p>
      <w:r>
        <w:rPr>
          <w:b/>
        </w:rPr>
        <w:t>E. 4.1</w:t>
      </w:r>
    </w:p>
    <w:p>
      <w:r>
        <w:t>L’appelant soutient que l’absence de relations personnelles entre lui et sa fille résulterait uniquement du fait de l’intimée.</w:t>
      </w:r>
    </w:p>
    <w:p>
      <w:r>
        <w:rPr>
          <w:b/>
        </w:rPr>
        <w:t>E. 4.2</w:t>
      </w:r>
    </w:p>
    <w:p>
      <w:r>
        <w:t>L’art. 277 al. 2 CC pose les conditions de l’obligation d’entretien des père et mère à l’égard de leur enfant majeur poursuivant sa formation. Cette obligation dépend expressément de l’ensemble des circonstances, et donc notamment des relations personnelles des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consid. 2) ; l’enfant doit avoir violé gravement (ATF 111 II 410 consid. 2) les devoirs qui lui incombent en vertu de l’art. 272 CC, et dans le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II 374 consid. 2 ; ATF 120 II 177 consid. 3c et les arrêts cités ; TF 5A_560/2011 du 25 novembre 2011 consid. 4.1.1 ; TF 5A_464/2008 du 15 décembre 2008 consid. 3.1 ; TF 5C_205/2004 du 8 novembre 2004 consid. 5.1, in FamPra.ch 2005 p. 414). Une réserve particulière s’impose lorsqu’il s’agit du manquement filial d’un enfant de parents divorcés envers ceux-ci ou l’un</w:t>
      </w:r>
    </w:p>
    <w:p>
      <w:r>
        <w:t>- 14 -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consid. 4 ; ATF 117 II 127 consid. 3b ; ATF 129 III 375 consid. 4.2 ; TF 5A_560/2011 du 25 novembre 2011 consid. 4.1.1, in FamPra.ch 2012 p. 496 ; TF 5A_464/2008 du 15 décembre 2008 consid. 3.1 ; TF 5C_205/2004 du 8 novembre 2004 consid. 5.1, in FamPra.ch 2005 p. 414). Il en résulte que, pour justifier un refus d’entretien, l’enfant doit encourir la responsabilité exclusive de la rupture des relations personnelles et cette responsabilité doit pouvoir lui être imputée à faute (5A_503/2012 du 4 décembre 2012 consid. 4.2, in FamPra.ch 2013 p. 525 ; TF 5A_805/2011 du 26 janvier 2012 consid. 2 ; ATF 113 II 374 consid. 2). Dans ce domaine, le juge jouit d’un large pouvoir d’appréciation (ATF 127 III 136 consid. 3a ; ATF 120 II 285 consid. 3b/bb ; TF 5A_207/2007 du 23 avril 2008 consid. 5.1). Il applique les règles du droit et de l’équité (art. 4 CC ; Hegnauer, Berner Kommentar, 4e éd., 1997, n. 89 ad art. 277 CC).</w:t>
      </w:r>
    </w:p>
    <w:p>
      <w:r>
        <w:rPr>
          <w:b/>
        </w:rPr>
        <w:t>E. 4.3</w:t>
      </w:r>
    </w:p>
    <w:p>
      <w:r>
        <w:t>En l’espèce, il n’apparaît pas, au stade de la vraisemblance, que l’intimée est la seule responsable de la rupture des relations personnelles entre elle-même et son père. L’appelant s’est remarié et a fondé une nouvelle famille, ce qui peut être de nature à aggraver les tensions entre le père et sa fille causées par le divorce. Or, comme le prévoit la jurisprudence, il doit être tenu compte des réactions de l’enfant majeure face au divorce de ses parents et des tensions que cela peut contribuer à créer au sein de la famille. Il s’ensuit que le grief de l’appelant tiré de l’absence de relations personnelles doit être rejeté.</w:t>
      </w:r>
    </w:p>
    <w:p>
      <w:r>
        <w:rPr>
          <w:b/>
        </w:rPr>
        <w:t>E. 5</w:t>
      </w:r>
    </w:p>
    <w:p>
      <w:r>
        <w:t>- 15 -</w:t>
      </w:r>
    </w:p>
    <w:p>
      <w:r>
        <w:rPr>
          <w:b/>
        </w:rPr>
        <w:t>E. 5.1</w:t>
      </w:r>
    </w:p>
    <w:p>
      <w:r>
        <w:t>L’appelant remet ensuite en cause les montants retenus par le premier juge pour fixer la contribution d’entretien en faveur de l’intimée. Il conteste notamment la réduction de ses charges de moitié, ainsi que les charges de l’intimée. Il relève qu’il n’existe en l’espèce aucune urgence particulière, l’intimée n’ayant pas démontré en quoi les mesures provisionnelles étaient de nature à causer un quelconque dommage.</w:t>
      </w:r>
    </w:p>
    <w:p>
      <w:r>
        <w:rPr>
          <w:b/>
        </w:rPr>
        <w:t>E. 5.2.1</w:t>
      </w:r>
    </w:p>
    <w:p>
      <w:r>
        <w:t>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w:t>
      </w:r>
    </w:p>
    <w:p>
      <w:r>
        <w:rPr>
          <w:b/>
        </w:rPr>
        <w:t>E. 5.2.2</w:t>
      </w:r>
    </w:p>
    <w:p>
      <w:r>
        <w:t>Le devoir des parents, y compris celui avec lequel l’enfant vit, se concentre sur le devoir de participer financièrement à leur entretien. Les deux parents y sont tenus d’égale manière dans la mesure de leur capacité contributive. Il n’existe pas de responsabilité solidaire des parents. Cela signifie que si l’enfant agit contre un seul des parents celui- ci ne pourra être tenu que de sa part. S’il veut obtenir la couverture de tout son entretien, l’enfant doit agir contre les deux parents (TF 5A_643/2015 du 15 mars 2016 consid. 7.1). La loi ne prescrit pas de méthode de calcul particulière pour arrêter la contribution d’entretien (ATF 128 III 411 consid. 3.2.2) ; sa fixation relève de l’appréciation du juge, qui jouit d’un large pouvoir d’appréciation et applique les règles du droit et de l’équité (art. 4 CC ; TF 5A_330/2014 du 30 octobre 2014 consid. 4 ; TF 5A_186/2012 du 28 juin 2012 consid. 6.2.3).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(TF 5A_330/2014 du 30 octobre 2014 consid. 4 et les références citées).</w:t>
      </w:r>
    </w:p>
    <w:p>
      <w:r>
        <w:t>- 16 - L’obligation d’entretien après la majorité doit se situer dans un rapport d’équité entre ce que l’on peut raisonnablement exiger des parents, en fonction des circonstances, et ce que l’on peut raisonnablement attendre de l’enfant, en termes de contribution à son propre entretien par le produit de son travail ou d’autres moyens (TF 5A_ 330/2014 du 30 octobre 2014 consid. 8.2.1 ; TF 5A_186/2012 du 28 juin 2012 consid. 6.2.1). Le soutien financier des père et mère ne peut se justifier que dans le cas où l’enfant ne dispose pas lui-même des ressources nécessaires pour assumer ses besoins courants et les frais engendrés par sa formation. Son autonomie partielle ou complète peut notamment découler du produit de l’activité lucrative qu’il est en mesure d’exercer parallèlement à la poursuite de sa formation, des biens acquis au cours de la minorité ou encore des allocations et des bourses d’études indépendantes de la situation patrimoniale des parents (Meier/Stettler, Droit de la filiation, 5e éd., 2014, n. 1210 p. 794 s). La jurisprudence a retenu que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op. cit., n. 943 p. 543). S'agissant de la prise en compte des revenus de l'enfant, le Tribunal fédéral a imputé la paie d'apprenti à raison de 50% la première année, 60% la deuxième année et 100% la troisième année (TF 5C.106/2004 du 5 juillet 2004 consid. 3.4, cité par Meier/Stettler, op. cit., n. 1036 et note infrapaginale 2363 ; Juge délégué CACI 24 août 2015/438 ; CACI 22 juin 2015/265 consid. 5.1.1).</w:t>
      </w:r>
    </w:p>
    <w:p>
      <w:r>
        <w:rPr>
          <w:b/>
        </w:rPr>
        <w:t>E. 5.3</w:t>
      </w:r>
    </w:p>
    <w:p>
      <w:r>
        <w:t>L’entretien de l’enfant majeur passe après les autres obligations d’entretien qu’il s’agisse des prestations dues à l’enfant mineur ou au conjoint (ATF 132 III 209 ; Meier/Stettler, op. cit., n. 1063, p. 701 et les nombreuses références). Le Tribunal fédéral a posé le principe qu’on ne peut exiger d’un parent qu’il subvienne à l’entretien de son enfant majeur que si, après</w:t>
      </w:r>
    </w:p>
    <w:p>
      <w:r>
        <w:t>- 17 - versement de cette contribution, le débiteur dispose encore d’un revenu dépassant d’environ 20 % son minimum vital au sens large (ATF 127 I 202 consid. 3e, 118 II 97 consid. 4b/aa). La capacité contributive doit être appréciée en fonction des charges effectives du débirentier, étant précisé que seuls les montants réellement acquittés – exempts de toute majoration – peuvent être pris en considération (ATF 121 III 20 consid. 3a). Dans sa jurisprudence récente, le Tribunal fédéral a considéré que la majoration de 20 % ne s’appliquait qu’à la seule base mensuelle du débirentier et non aux autres postes du minimum vital (TF 5A_785/2010 du 30 juin 2011 consid. 4.1 ; CACI 30 mai 2016/212). Les allocations familiales affectées exclusivement à l’entretien de l’enfant ne sont pas prises en compte dans le calcul du revenu du parent qui les reçoit. Elles sont cependant retranchées du coût d’entretien de l’enfant (ATF 137 III 59 consid. 4.2.3 ; De Luze/Page/Stoudmann, op. cit., n. 2.1 ad art. 285 CC). Il en va de même s’agissant de l’enfant majeur et des allocations de formation professionnelle qu’il perçoit (TF 5A_207/2011 du 26 septembre 2011 consid. 4.3)</w:t>
      </w:r>
    </w:p>
    <w:p>
      <w:r>
        <w:rPr>
          <w:b/>
        </w:rPr>
        <w:t>E. 5.4.1</w:t>
      </w:r>
    </w:p>
    <w:p>
      <w:r>
        <w:t>En l’espèce, l’appelant est remarié à C.P.________. Deux enfants mineurs sont issus de cette union, le [...] 2007 pour le premier (9 ans) et le [...] 2011 pour le second (5 ans). L’épouse de l’appelant, qui n’exerce aucune activité lucrative, est également mère d’une enfant issue d’une précédente union, F.________, née le [...] 2000. Le revenu mensuel de l’appelant est de 4'887 fr. 40, allocations familiales non comprises.</w:t>
      </w:r>
    </w:p>
    <w:p>
      <w:r>
        <w:rPr>
          <w:b/>
        </w:rPr>
        <w:t>E. 5.4.2.1</w:t>
      </w:r>
    </w:p>
    <w:p>
      <w:r>
        <w:t>Il a été retenu par le premier juge que l’instruction n’a pas permis de démontrer les raisons pour lesquelles la nouvelle épouse de l’appelant n’exerce aucune activité professionnelle et si cette dernière pourrait, cas échéant, augmenter sa capacité contributive conformément à son devoir d’assistance. Or, il est de jurisprudence constante que l’on ne</w:t>
      </w:r>
    </w:p>
    <w:p>
      <w:r>
        <w:t>- 18 - peut pas exiger d'un époux la prise ou la reprise d'une activité lucrative à un taux de 50 % avant que le plus jeune des enfants ait atteint l'âge de</w:t>
      </w:r>
    </w:p>
    <w:p>
      <w:r>
        <w:rPr>
          <w:b/>
        </w:rPr>
        <w:t>E. 5.4.2.2</w:t>
      </w:r>
    </w:p>
    <w:p>
      <w:r>
        <w:t>S’agissant du montant de base des deux enfants D.P.________ et E.P.________, il y a lieu de déduire les allocations familiales les concernant, par 600 fr. (230 fr. + 370 fr.), ce qui ramène ce montant à 200 fr. (800 fr. – 600 fr.).</w:t>
      </w:r>
    </w:p>
    <w:p>
      <w:r>
        <w:t>- 19 - Le montant des primes d’assurance-maladie pour l’appelant, son épouse ainsi que les deux enfants du couple sera retenu à hauteur de 750 fr. 10, les primes de la famille étant de 1'020 fr. 10, et subsidiées par 270 fr. (cf. pièces 107 et 108bis). S’agissant des frais de déplacement invoqués par l’appelant à hauteur de 72 fr., ceux-ci ayant été admis par l’intimée, ils seront pris en compte pour ce montant. Les frais de repas allégués par l’appelant à hauteur de 220 fr. ne sont pas contestés par l’intimée quant à leur principe mais uniquement quant à leur quotité. En effet, cette dernière soutient qu’il y aurait lieu de prendre en compte un montant journalier de 9 fr. en lieu et place de 11 francs. En l’espèce, on retiendra un montant mensuel de 238 fr. 70 (11 fr. x 21.7 jours [cf. CACI 13 juillet 2016/410]) dans la mesure où le montant de 11 fr. par jour est prévu dans la fourchette des lignes directrices pour le calcul du minimum d’existence en matière de poursuite (minimum vital), et qu’au surplus, l’intimée n’invoque aucun argument à l’appui de son grief. L’intimée n’a pas contesté le principe de la prise en compte des frais de garde assumés par l’appelant mais uniquement leur quotité. En l’espèce, ceux-ci doivent être pris en compte à hauteur des montants arrondis de 45 fr. 40 par mois ([185 fr. 15 + 359 fr. 40] / 12) pour D.P.________ et de 213 fr. 50 (2'562 fr. 10 / 12) s’agissant de E.P.________ (cf. pièce 4 produite par l’appelant). Les frais liés aux activités extrascolaires de D.P.________, par 41 fr. 70 – sur lesquels l’intimée ne se prononce pas – seront pris en compte s’agissant de la détermination du minimum vital de l’appelant, dès lors que l’entretien de l’enfant s’étend à tout ce qui lui est nécessaire au plan psychique et émotionnel, et de façon générale, à ce qui contribue à son bon développement. Outre les besoins vitaux, l’obligation d’entretien comporte aussi les dépenses liées aux activités culturelles, sportives ou de</w:t>
      </w:r>
    </w:p>
    <w:p>
      <w:r>
        <w:t>- 20 - loisirs, ainsi que l’argent de poche conforme à l’âge de l’enfant (Meier/Stettler, op. cit., n. 1065, p. 703).</w:t>
      </w:r>
    </w:p>
    <w:p>
      <w:r>
        <w:rPr>
          <w:b/>
        </w:rPr>
        <w:t>E. 5.4.2.3</w:t>
      </w:r>
    </w:p>
    <w:p>
      <w:r>
        <w:t>Selon la jurisprudence du Tribunal fédéral s’agissant des contributions d’entretien dues aux enfants majeurs, il convient d’inclure dans le minimum vital la charge fiscale (ATF 118 II 97, JdT 1994 II 341 consid. 4b/aa). Les impôts de l’appelant ont par conséquent été pris en compte s’agissant de ses charges incompressibles. La prise en compte de tels frais, de même que leur quotité, n’est pas discutée en appel.</w:t>
      </w:r>
    </w:p>
    <w:p>
      <w:r>
        <w:rPr>
          <w:b/>
        </w:rPr>
        <w:t>E. 5.4.3</w:t>
      </w:r>
    </w:p>
    <w:p>
      <w:r>
        <w:t>La situation matérielle de l’appelant se présente ainsi comme suit : - Montant de base du couple (majoré de fr. 2’040.00 20 %) - Montant de base de E.P.________ et fr. 200.00 D.P.________ - Loyer fr. 1’044.00 - Assurance-maladie fr. 750.10 - Frais de déplacement fr. 72.00 - Frais de repas fr. 238.70 - Frais de garde D.P.________ fr. 45.40 - Frais de garde E.P.________ fr. 213.50 - Activité extrascolaire de D.P.________ fr. 41.70 - Impôts fr. 268.65 TOTAL fr. 4'914.15 En définitive, l’appelant ne dispose d’aucun solde disponible, puisque son revenu de 4'887 fr. 40 ne lui permet pas de couvrir ses charges, par 4'914 fr. 15. 6. 6.1 Il résulte de ce qui précède que l’appelant n’est pas en mesure de contribuer à l’entretien de sa fille majeure. En conséquence, l'appel</w:t>
      </w:r>
    </w:p>
    <w:p>
      <w:r>
        <w:t>- 21 - d’A.P.________ doit être admis et la requête de mesures provisionnelles rejetée. 6.2 Vu l’issue du litige, les frais judiciaires de deuxième instance, arrêtés à 600 fr. (art. 65 al. 2 TFJC [tarif des frais judiciaires civils du 28 septembre 2010 ; RSV 270.11.5]), doivent être mis à la charge de l’intimée (art. 106 al. 2 CPC) et laissés à la charge de l’Etat, l’intimée étant au bénéfice de l’assistance judiciaire. 6.3 En leur qualité de conseils d'office, Me Laurent Schuler, conseil d’office d’A.P.________, et Me Katia Pezuela, conseil d’office de B.P.________,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du 7 décembre 2010 sur l’assistance judiciaire en matière civile ; RSV 211.02.3]). Dans sa liste d'opérations du 25 juillet 2016, Me Laurent Schuler, conseil de l’appelant, indique avoir consacré, pour la période du 4 avril au 26 juillet 2016, un total de 12 heures de travail d’avocat au dossier et fait état de 152 fr. de débours, TVA en sus. La liste des opérations contient une description du mandat et énumère en détail chaque opération effectuée, sans indiquer combien de temps a été consacré à chaque poste. Elle fait état d’un temps estimatif non détaillé consacré au mandat de 12 heures. Compte tenu de la nature et de la complexité du litige, ce temps de travail paraît surévalué. Pour les correspondances et les téléphones, il se justifie d’admettre un total de 1 heure et 30 minutes. Pour le mémoire d’appel de 16 pages, un total de 5 heures peut être comptabilisé, 1 heure pour la préparation de l’audience d’appel et 30 minutes pour l’audience. Partant, il convient de réduire l’indemnité d’office de Me Schuler à un total de 8 heures de travail.</w:t>
      </w:r>
    </w:p>
    <w:p>
      <w:r>
        <w:t>- 22 - Partant, au tarif horaire de 180 fr. (art. 2 al. 1 RAJ), l'indemnité de Me Schuler sera donc arrêtée à 1'719 fr. 35, débours par 152 fr. et TVA par 127 fr. 35 compris. Quant à l’avocate de l’intimée, dans sa liste d’opérations du 28 juillet 2016, elle indique avoir consacré 10 heures et 50 minutes au dossier entre le 25 avril et le 28 juillet 2016, dont 9 heures et 10 minutes par un avocat-stagiaire, ce qui peut être admis. Le montant alloué doit ainsi être arrêté en retenant 1 heure et 40 minutes de travail d'avocat breveté, au tarif horaire de 180 fr., soit 300 fr., ainsi que 9 heures et 10 minutes de travail d'avocat-stagiaire, au tarif horaire de 110 fr., soit 1’008 fr. 35 (cf. art. 2 al. 1 RAJ), avec une vacation à 80 fr., auxquelles s’ajoutent les débours par 100 fr. et la TVA, par 119 fr. 05, ce qui porte le montant total à 1’607 fr. 40. Les bénéficiaires de l’assistance judiciaire sont, dans la mesure de l’art. 123 CPC, tenus au remboursement des frais judiciaires et de l’indemnité à leur conseil d’office mis à la charge de l’Etat. 6.4 L’intimée doit verser à l’appelant la somme de 1’800 fr., à titre de dépens de deuxième instance. Par ces motifs, la Juge déléguée de la Cour d’appel civile prononce : I. L’appel est admis. II. L’ordonnance est réformée comme suit aux chiffres I et III de son dispositif :</w:t>
      </w:r>
    </w:p>
    <w:p>
      <w:r>
        <w:t>- 23 - I. La requête de mesures provisionnelles du 13 janvier 2016 déposée par B.P.________ est rejetée. III. supprimé. L’ordonnance est confirmée pour le surplus. III. Les frais judiciaires de deuxième instance, arrêtés à 600 fr. (six cents francs) pour l’intimée sont laissés à la charge de l’Etat. IV. L’indemnité d’office de Me Laurent Schuler, conseil d’office de l’appelant, est arrêtée à 1'719 fr. 35 (mille sept cent dix-neuf francs et trente-cinq centimes francs), TVA et débours compris. V. L’indemnité d’office de Me Katia Pezuela, conseil d’office de l’intimée, est arrêtée à 1’607 fr. 40 (mille six cent sept francs et quarante centimes), TVA et débours compris. VI. Les bénéficiaires de l’assistance judiciaire sont, dans la mesure de l’art. 123 CPC, tenus au remboursement des frais judiciaires et de l’indemnité au conseil d’office mis à la charge de l’Etat. VII. L’intimée B.P.________ doit verser à l’appelant A.P.________ la somme de 1’800 fr. (mille huit cents francs), à titre de dépens de deuxième instance. VIII. L’arrêt est exécutoire. La juge déléguée : La greffière :</w:t>
      </w:r>
    </w:p>
    <w:p>
      <w:r>
        <w:t>- 24 - Du Le présent arrêt, dont la rédaction a été approuvée à huis clos, est notifié en expédition complète à : - Me Laurent Schuler (pour A.P.________), - Me Katia Pezuela (pour B.P.________), et communiqué, par l'envoi de photocopies, à : - M. le Président du Tribunal civil de l’arrondissement de Lausanne La juge déléguée de la Cour d’appel civile considère que la valeur litigieuse est inférieure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ans révolus, et de 100 % avant qu'il ait atteint l'âge de 16 ans révolus (ATF 115 II 6 consid. 3c ; ATF 137 III 102 consid. 4.2.2.2). Dans la mesure où l’épouse n’exerce aucune activité lucrative et que l’on ne peut pas exiger d’elle qu’elle en exerce une au regard des considérations qui précèdent, il ne se justifie pas de diviser par deux les charges de la famille pour établir le minimum vital de l’appelant. Il en va de même du montant de base du minimum vital d’un adulte vivant en couple, puisqu’il ne s’agit pas ici de mettre sur un pied d’égalité l’enfant majeur avec les enfants mineurs et la nouvelle épouse de l’appelant, dont les besoins doivent prévaloir sur ceux de l’enfant majeur. Cela se justifie d’autant plus qu’en l’espèce, seule la situation du père a été examinée par le premier juge, sans tenir compte d’une participation de la mère, dont on ignore quelle est la situation financière. Or, comme indiqué ci-dessus, le devoir des parents, y compris celui avec lequel l’enfant vit, se concentre sur le devoir de participer financièrement à leur entretien, le devoir d’entretien allant au-delà de l’entretien en nature fourni. On observera encore qu’il a été fait mention d’une participation de l’intimée à la charge de loyer de sa mère, chez qui elle vit, à raison de 340 fr. par mois. A supposer qu’une telle charge soit établie – ce qui n’est pas le cas sur la base des éléments figurant au dossier –, cela réduirait d’autant la participation en nature de la mère, dont il convient d’ailleurs de relativiser la portée au regard de la jurisprudence précitée. Le montant de base relatif à un couple avec enfants, soit 1'700 fr., devra être majoré de 20 % eu égard à la jurisprudence du Tribunal fédéral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