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JI15.015115 vom 28. August 2015</w:t>
      </w:r>
    </w:p>
    <w:p>
      <w:r>
        <w:t>VD Tribunal cantonal, 2015-08-28, FR</w:t>
      </w:r>
    </w:p>
    <w:p>
      <w:r>
        <w:rPr>
          <w:b/>
        </w:rPr>
        <w:t xml:space="preserve">Quelle: </w:t>
      </w:r>
      <w:r>
        <w:t>https://mcp.opencaselaw.ch/entscheid/vd_gerichte_JI15.015115</w:t>
      </w:r>
    </w:p>
    <w:p>
      <w:r>
        <w:t>FR: VD_GERICHTE JI15.015115 du 28 août 2015</w:t>
      </w:r>
    </w:p>
    <w:p>
      <w:r>
        <w:t>IT: VD_GERICHTE JI15.015115 del 28 agosto 2015</w:t>
      </w:r>
    </w:p>
    <w:p>
      <w:pPr>
        <w:pStyle w:val="Heading2"/>
      </w:pPr>
      <w:r>
        <w:t>Erwägungen</w:t>
      </w:r>
    </w:p>
    <w:p>
      <w:r>
        <w:rPr>
          <w:b/>
        </w:rPr>
        <w:t>E. 3</w:t>
      </w:r>
    </w:p>
    <w:p>
      <w:r>
        <w:t>a) L’appelant soutient qu’en application de l’art. 269 let. a CPC, réservant les dispositions de la LP (loi sur les poursuites et faillites du 11 avril 1889 ; RS 281.1) concernant les mesures conservatoires, le juge ne peut pas, par voie de mesures provisionnelles fondées sur les art. 261 ss CPC, garantir le recouvrement après procès de sommes d’argent en faveur du créancier, seul faisant exception à ce principe le versement d’une prestation à titre de mesure provisionnelle lorsque la loi le prévoit expressément, en application de l’art. 262 let. e CPC. Tel ne serait pas le cas de l’art. 760 CC, le versement provisoire d’une somme d’argent n’étant pas expressément prévu par cette disposition. Selon l’appelant, il ne ressortirait en outre ni de la jurisprudence ni de la doctrine que les mesures prévues par l’art. 760 CC constitueraient, au sens de l’art. 262 let. a-c CPC, un cas de mesures conservatoires visant à maintenir l’objet du litige dans l’état où il se trouve pendant toute la durée du procès. Or, sous réserve de l’exception de l’art. 303 al. 2 CPC, non pertinente en l’espèce, le champ d’application des mesures provisionnelles conservatoires serait limité à la protection des droits réels ou personnels, dont la nature n’est pas pécuniaire.</w:t>
      </w:r>
    </w:p>
    <w:p>
      <w:r>
        <w:t>- 10 - Dans son mémoire de réplique du 20 août 2015, l’appelant soutient encore que, contrairement aux mesures provisionnelles, dans les cas de procédures sommaires « atypiques » énumérées aux art. 249 et 250 CPC, en particulier à l’art. 249 let. d ch. 6 CPC, le juge ne peut se satisfaire de la simple vraisemblance, mais doit être convaincu de l’existence du droit, autrement dit s’appuyer sur des preuves dignes de ce nom. A défaut, sa décision reviendrait à rendre un jugement au fond selon les règles et conditions d’une ordonnance provisoire. b/aa) Selon l’art. 760 al. 1 CC, le propriétaire qui prouve que ses droits sont en péril peut exiger des sûretés de l’usufruitier. Il peut en exiger, même sans faire cette preuve et avant la délivrance, si l’usufruit porte sur des choses consomptibles ou des papiers-valeurs (art. 760 al. 2 CC). Si les parties ne s’entendent pas, le juge statue en procédure sommaire sur le principe et l’objet des sûretés et il fixe un délai pour leur constitution (art. 249 let. d ch. 6 CPC). Les sûretés peuvent par exemple être fournies sous forme de cautionnement ou de consignation de valeurs, dans la mesure nécessaire pour parer aux risques de perte ou de dégradation de la chose grevée (Steinauer, Les droits réels, tome III, Berne 2012, n. 2456b p. 78 et les références citées). L’usufruit s’étend à la contre-valeur qui a remplacé la chose détruite (art. 750 al. 3 CC). Ainsi, en cas de perte de la chose, le droit de l’usufruitier se reporte ex lege sur les sommes représentant la contre- valeur de son droit (Steinauer, op. cit., n. 2469). bb) 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Saisi d’une requête de mesures provisionnelles, le juge doit examiner d’abord si le requérant est titulaire d’une prétention au fond,</w:t>
      </w:r>
    </w:p>
    <w:p>
      <w:r>
        <w:t>- 11 - puis s’il est atteint ou s’il risque une atteinte.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(TF 5A_629/2009 du 25 février 2010 c. 4.2). Les exigences de preuve sont réduites et le juge peut se contenter de la vraisemblance des faits pertinents (TF 4A_420/2008 du 9 décembre 2008 c. 2.3 ; ATF 129 II 426 c. 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n. 4 ad art. 261 CPC et les références citées). L’octroi de mesures provisionnelles implique donc de rendre vraisemblable, d’une part, les faits à l’appui de la prétention et, d’autre part, que celle-ci fonde vraisemblablement un droit ; le requérant doit ainsi rendre vraisemblable que le droit matériel invoqué existe et que le procès a des chances de succès (ATF 131 III 473 c. 2.3). Le requérant doit également rendre vraisemblable qu’un danger imminent menace ses droits (Bohnet, op. cit., nn. 7 à 12 ad art. 261 CPC). Le juge doit accorder la protection requise si, sur la base d’un examen sommaire, la prétention invoquée au fond, soit le droit matériel invoqué, ne se révèle pas dénuée de chances de succès ; il procède alors à une pesée des intérêts en présence, en tenant compte du degré de vraisemblance de l’atteinte et du préjudice (Bohnet, op. cit., n. 14 ad art. 261 CPC). Lorsque les prétentions que le requérant a l’intention de faire valoir au principal se révèlent manifestement mal fondés en présence de ses propres allégués ou d’une preuve péremptoire, la requête doit être rejetée sans examen des conditions prévues à l’art. 261 al. 1 let. a et b (Bohnet, op. cit., n. 8 ad art. 261 CPC). cc) L’art. 262 CPC porte sur les mesures provisionnelles que le tribunal peut ordonner, dressant un catalogue non exhaustif de mesures,</w:t>
      </w:r>
    </w:p>
    <w:p>
      <w:r>
        <w:t>- 12 - sans ordre particulier. Cette disposition prévoit trois types de mesures, à savoir les mesures conservatoires (ou mesures de sûretés) (let. a-c), les mesures de réglementation (let. a-e) et les mesures d’exécution anticipée (let. a-e) (Bohnet, op. cit., n. 2 ad art. 262 CPC). Les mesures conservatoires visent à sauvegarder l’état de fait et assurer l’exécution forcée du jugement à venir. Elles interviennent en particulier lorsqu’il y a lieu de craindre une modification portée à l’état de l’objet litigieux, pour éviter que le débiteur de l’obligation invoquée ne rende plus difficile, voire impossible, une exécution ultérieure (ATF 127 III 496 c. 3b/bb). Il en va ainsi notamment de la consignation ou de la saisie provisionnelle de biens mobiliers (choses ou créances) (Bohnet, op. cit., nn. 6-7 ad art. 262 CPC). Quant aux mesures d’exécution anticipée, elles équivalent, comme leur nom l’indique, à une exécution anticipée du jugement à rendre. Elles peuvent être ordonnées selon le CPC, en particulier lorsque l’écoulement du temps risque de rendre illusoire la protection des droits du requérant (ATF 131 III 473 c. 2.3). Sont par exemple envisageables à ce titre l’interdiction de livrer des marchandises à des concurrents, l’ordre de cesser de diffuser un ouvrage, l’obligation faite à une partie de remettre un bien ou encore de verser une somme d’argent, si la loi le prévoit, tel par exemple dans le cas d’une demande d’aliments liée à une demande en paternité (art. 303 al. 2 let. b CPC) (Bohnet, op. cit., n. 11 ad art. 262 CPC). dd) L’art. 269 CPC réserve diverses dispositions d’autres lois en matière de mesures provisionnelles. La LP constitue l’exception principale (let. a), le recouvrement des dettes d’argent et les mesures conservatoires les concernant étant dévolues à cette loi (Bohnet, op. cit., n. 2 ad art. 269 CPC). L’art. 269 let. b CPC mentionne également les dispositions du CC concernant les mesures de sûretés en matière de successions, lesquelles ne relèvent pas nécessairement du juge et n’entrent donc pas forcément dans le champ de compétence du CPC (Bohnet, op. cit., n. 5 ad art. 269 CPC).</w:t>
      </w:r>
    </w:p>
    <w:p>
      <w:r>
        <w:t>- 13 - c) En l’espèce, la mesure prévue par le premier juge, par lequel il a ordonné à l’appelant le dépôt d’un montant de 249'127 fr. 45 sur un compte de consignation, vise à l’empêcher, jusqu’à droit connu sur le bien-fondé de la prétention des intimés, de disposer des valeurs qu’il a acquises vraisemblablement en remplacement de biens desquels il était, au moins partiellement, l’usufruitier. Elle correspond ainsi à une mesure conservatoire et non à une mesure d’exécution anticipée du jugement à rendre, dès lors que le montant consigné n’est pas versé aux intimés et que ces derniers ne pourront pas en disposer tant que leur prétention n’est pas établie. C’est donc à tort que l’appelant se prévaut de l’art. 262 let. e CPC et de l’exigence d’une base légale expresse pour le versement d’une somme d’argent, une telle base légale étant en particulier nécessaire pour des mesures n’offrant aucune garantie au justiciable de récupérer l’argent versé, même s’il devait obtenir gain de cause au fond. Par ailleurs, contrairement à ce que soutient l’appelant, ni l’art. 262 CPC ni l’art. 760 CC n’exclut la consignation, cette mesure étant au contraire citée par les commentateurs de ces dispositions comme des mesures pouvant être communément ordonnées par le juge. L’appelant ne peut pas non plus se prévaloir de l’art. 269 let. a CPC réservant les mesures conservatoires de la LP ni de l’art. 269 let. b CPC concernant les dispositions du CC prévoyant des mesures de sûretés en matière de successions. La consignation ordonnée par le premier juge l’a été en application de l’art. 760 CC, qui vise à protéger le propriétaire contre les actes de l’usufruitier, de sorte qu’elle ne saurait être assimilée à un séquestre au sens des art. 271 ss LP. Au surplus, l’art. 760 CC ne constitue pas une mesure de sûretés en matière de droit des successions, mais de droits réels. Comme le relèvent les intimés dans leur duplique du 21 août 2015, on ne saurait en outre exclure la possibilité de prononcer des mesures provisionnelles dans le cadre des actions énumérées aux art. 249 ss CPC pour lesquelles la procédure sommaire s’applique, sauf à admettre</w:t>
      </w:r>
    </w:p>
    <w:p>
      <w:r>
        <w:t>- 14 - que ces actions ne peuvent aucunement faire l’objet de protection en cas d’urgence. Au reste, l’examen du dossier démontre, sous l’angle de la vraisemblance, que les intimés n’étaient pas propriétaires du bien immobilier vendu par leur père, mais qu’ils disposaient chacun d’une prétention sur une part de l’actif successoral de feue leur mère, composé essentiellement de la part du bénéfice de la liquidation du régime matrimonial à faire valoir sur ce bien immobilier. Les pièces produites démontrent en outre qu’un usufruit avait vraisemblablement été constitué valablement sur l’actif successoral de leur mère au bénéfice de l’appelant. Ainsi, en faisant valoir que la vente de l’immeuble par l’appelant, intervenue en novembre 2014, était susceptible de porter préjudice à leurs prétentions successorales et que l’appelant pourrait être amené à dilapider les montants obtenus en remplacement de l’immeuble, les intimés ont rendu vraisemblable qu’une prétention dont ils étaient titulaires était l’objet d’une atteinte ou risquait de l’être. Il s’ensuit que c’est à bon droit que le premier juge a fait application des art. 261 ss CPC et 760 CC, lui permettant d’ordonner à titre provisionnel la consignation des valeurs acquises en remplacement du bien immobilier vendu. C’est également à bon droit qu’il a fait droit aux conclusions des intimés en se fondant sur la vraisemblance des faits invoqués.</w:t>
      </w:r>
    </w:p>
    <w:p>
      <w:r>
        <w:rPr>
          <w:b/>
        </w:rPr>
        <w:t>E. 4</w:t>
      </w:r>
    </w:p>
    <w:p>
      <w:r>
        <w:t>a) Dans son écriture spontanée du 25 août 2015, l’appelant, se prévalant d’un message qu’il aurait adressé à sa fille au plus tard le 20 octobre 2014 (pièce n° 111), relève que la condition de l’urgence ne serait pas réalisée dès lors que les intimés auraient déposé leur requête de mesures provisionnelles du 16 avril 2015 près de six mois après avoir eu connaissance de la vente par l’appelant de l’immeuble n° [...] de [...]. b) Le risque de préjudice difficilement réparable suppose l’urgence. Cette notion, qu’on rattache parfois à celle de préjudice difficilement réparable, est un concept juridique indéterminé et relatif, qui</w:t>
      </w:r>
    </w:p>
    <w:p>
      <w:r>
        <w:t>- 15 - doit être apprécié au gré des circonstances du cas d’espèce. De façon générale, il y a urgence chaque fois que le retard apporté à une solution provisoire met en péril les intérêts d’une des parties (Juge délégué CACI 24 octobre 2011/312). L'atteinte peut notamment consister dans l'impossibilité d'obtenir l'exécution en nature de la prétention concernée. Elle peut justifier le blocage provisionnel de valeurs patrimoniales (cédules et produit d'une gérance légale faisant l'objet d'une action révocatoire) (TF 5A_901/2011 du 4 avril 2012 c. 4.1, RSPC 2012 p. 410). c) En l’espèce, on ne saurait déduire de la seule pièce n° 111 que les intimés avaient connaissance de la vente de l’immeuble en date du 20 octobre 2014 déjà. Le message produit, qui n’est pas daté, dont le destinataire n’est pas mentionné et dont la réception par les intimés n’a pas été attestée, n’a en effet pas une valeur probante suffisante. Au demeurant, le moyen tiré d’un éventuel défaut d’urgence a été soulevé par l’appelant pour la première fois en procédure d’appel, qui plus est dans une détermination spontanée postérieure à l’appel, de sorte que sa recevabilité est douteuse.</w:t>
      </w:r>
    </w:p>
    <w:p>
      <w:r>
        <w:rPr>
          <w:b/>
        </w:rPr>
        <w:t>E. 5</w:t>
      </w:r>
    </w:p>
    <w:p>
      <w:r>
        <w:t>mars 2007 en faveur de son fils, l’intimé B.C.________. b) Rien n’indique cependant que cette donation, faite à titre d’avancement d’hoirie et rapportable dans la succession du donateur, ait un lien avec les prétentions des intimés, celles-ci se rapportant sur les biens propres de la mère défunte ainsi que sur la part au bénéfice de liquidation du régime matrimonial revenant à la succession. Cette prétendue créance de l’appelant contre l’intimé B.C.________ est dès lors étrangère au présent litige.</w:t>
      </w:r>
    </w:p>
    <w:p>
      <w:r>
        <w:t>- 16 -</w:t>
      </w:r>
    </w:p>
    <w:p>
      <w:r>
        <w:rPr>
          <w:b/>
        </w:rPr>
        <w:t>E. 6</w:t>
      </w:r>
    </w:p>
    <w:p>
      <w:r>
        <w:t>a) L’appelant soutient que l’ouverture du compte joint ordonnée par le premier juge dans un délai de cinq jours serait matériellement irréalisable, dès lors que le concours de toutes les parties était nécessaire. b) Compte tenu de l’ouverture du compte de consignation intervenue le 5 août 2015, soit après le rejet de la requête d’effet suspensif par la Juge de céans, ce grief tombe à faux.</w:t>
      </w:r>
    </w:p>
    <w:p>
      <w:r>
        <w:rPr>
          <w:b/>
        </w:rPr>
        <w:t>E. 7</w:t>
      </w:r>
    </w:p>
    <w:p>
      <w:r>
        <w:t>a) L’appelant dénonce enfin une violation du principe de la proportionnalité. Il soutient que, pour garantir les éventuels droits des intimés, il suffisait de prévoir des sûretés beaucoup moins pénalisantes pour l’appelant, tel un cautionnement bancaire. b) La mesure prononcée à titre provisionnel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(TF 4A_611/2011 du 3 janvier 2012 c. 4, RSPC 2012 p. 208).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(Juge délégué CACI 30 août 2012/390; Juge délégué CACI 21 mai 2013/262). c) En l’espèce, on ne voit pas en quoi la mesure ordonnée serait plus pénalisante qu’un cautionnement bancaire. Au surplus, l’appelant ne rend pas plausibles ses affirmations selon lesquelles l’argent tiré de la vente du bien immobilier litigieux serait entièrement investi sous forme de titres et autres valeurs bancaires non immédiatement</w:t>
      </w:r>
    </w:p>
    <w:p>
      <w:r>
        <w:t>- 17 - disponibles et qu’il serait ainsi contraint de vendre ces titres et valeurs avec « perte et fracas », l’extrait de son compte UBS daté du 27 avril 2015 démontrant à cet égard qu’il bénéficiait alors de liquidités d’un montant supérieur au montant à déposer. Du reste, il a été en mesure de prélever le montant ordonné.</w:t>
      </w:r>
    </w:p>
    <w:p>
      <w:r>
        <w:rPr>
          <w:b/>
        </w:rPr>
        <w:t>E. 8</w:t>
      </w:r>
    </w:p>
    <w:p>
      <w:r>
        <w:t>Au vu de ce qui précède, l’appel doit être rejeté et l’ordonnance confirmée. Les frais judiciaires de deuxième instance, arrêtés à 800 fr. (art. 65 al. 1 [tarif du 28 septembre 2010 des frais judiciaires civils, RSV 270.11.5]), sont mis à la charge de l’appelant, qui succombe (art. 106 al. 1 CPC). L'appelant versera aux intimés la somme de 3’000 fr. (art. 7 al. 1 TDC [tarif des dépens en matière civile du 23 novembre 2010, RSV 270.11.6]) à titre de dépens de deuxième instance. Par ces motifs, la Juge déléguée de la Cour d’appel civile du Tribunal cantonal, prononce : I. L’appel est rejeté. II. L’ordonnance est confirmée. III. Les frais judiciaires de deuxième instance, arrêtés à 800 fr. (huit cents francs), sont mis à la charge de l’appelant C.C.________.</w:t>
      </w:r>
    </w:p>
    <w:p>
      <w:r>
        <w:t>- 18 - IV. L’appelant C.C.________ doit verser aux intimés V.________ et B.C.________, solidairement entre eux, la somme de 3'000 fr. (trois mille francs) à titre de dépens de deuxième instance. V. L’arrêt est exécutoire. La juge déléguée : Le greffier : Du L'arrêt qui précède, dont la rédaction a été approuvée à huis clos, est notifié à : - Me Bernard de Chedid (pour C.C.________) - Me Christophe Misteli (pour V.________ et B.C.________)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- 19 -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